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A separate sdt-RSRP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When lagacy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When checking the conditions for initiating RA-SDT during SDT type seleciton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r>
              <w:rPr>
                <w:rFonts w:eastAsia="DengXian"/>
                <w:b/>
                <w:i/>
                <w:lang w:eastAsia="zh-CN"/>
              </w:rPr>
              <w:t xml:space="preserve">For both MO and MT-SDT, if the next CG-SDT resource is too far, then RACH resource can be selected first.   This is checked at the point of initial </w:t>
            </w:r>
            <w:r>
              <w:rPr>
                <w:rFonts w:eastAsia="DengXian"/>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r>
              <w:rPr>
                <w:rFonts w:eastAsia="DengXian"/>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The new feature MT-SDT can not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t>Cancellation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t>DownLink-Positioning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OTE 3: SDT is not applicable for the Random Access procedure initiated by upper layers for MT-SDT</w:t>
        </w:r>
        <w:commentRangeStart w:id="18"/>
        <w:r>
          <w:rPr>
            <w:rFonts w:eastAsia="DengXian"/>
            <w:lang w:eastAsia="zh-CN"/>
          </w:rPr>
          <w:t xml:space="preserve">, </w:t>
        </w:r>
      </w:ins>
      <w:commentRangeEnd w:id="18"/>
      <w:r w:rsidR="004746D0">
        <w:rPr>
          <w:rStyle w:val="CommentReference"/>
        </w:rPr>
        <w:commentReference w:id="18"/>
      </w:r>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9" w:name="_Toc139032238"/>
      <w:r>
        <w:rPr>
          <w:rFonts w:eastAsia="Malgun Gothic"/>
          <w:lang w:eastAsia="ko-KR"/>
        </w:rPr>
        <w:t>5.1.1c</w:t>
      </w:r>
      <w:r>
        <w:rPr>
          <w:rFonts w:eastAsia="Malgun Gothic"/>
          <w:lang w:eastAsia="ko-KR"/>
        </w:rPr>
        <w:tab/>
        <w:t>Availability of the set of Random Access resources</w:t>
      </w:r>
      <w:bookmarkEnd w:id="19"/>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commentRangeStart w:id="20"/>
      <w:commentRangeStart w:id="21"/>
      <w:commentRangeStart w:id="22"/>
      <w:ins w:id="23" w:author="Huawei-YinghaoGuo" w:date="2023-08-29T14:46:00Z">
        <w:r w:rsidR="003D4FD9">
          <w:rPr>
            <w:rFonts w:hint="eastAsia"/>
            <w:lang w:eastAsia="ko-KR"/>
          </w:rPr>
          <w:t>Random Access-based MO-SDT</w:t>
        </w:r>
      </w:ins>
      <w:del w:id="24" w:author="Huawei-YinghaoGuo" w:date="2023-08-29T14:46:00Z">
        <w:r w:rsidDel="003D4FD9">
          <w:rPr>
            <w:lang w:eastAsia="ko-KR"/>
          </w:rPr>
          <w:delText>RA-SDT</w:delText>
        </w:r>
      </w:del>
      <w:commentRangeEnd w:id="20"/>
      <w:r w:rsidR="00EF6C10">
        <w:rPr>
          <w:rStyle w:val="CommentReference"/>
        </w:rPr>
        <w:commentReference w:id="20"/>
      </w:r>
      <w:commentRangeEnd w:id="21"/>
      <w:r w:rsidR="00696C02">
        <w:rPr>
          <w:rStyle w:val="CommentReference"/>
        </w:rPr>
        <w:commentReference w:id="21"/>
      </w:r>
      <w:commentRangeEnd w:id="22"/>
      <w:r w:rsidR="0098685E">
        <w:rPr>
          <w:rStyle w:val="CommentReference"/>
        </w:rPr>
        <w:commentReference w:id="22"/>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5" w:name="_Toc131023513"/>
      <w:r>
        <w:rPr>
          <w:rFonts w:ascii="Arial" w:eastAsia="DengXian" w:hAnsi="Arial"/>
          <w:sz w:val="28"/>
          <w:lang w:eastAsia="zh-CN"/>
        </w:rPr>
        <w:t>5.27.1</w:t>
      </w:r>
      <w:r>
        <w:rPr>
          <w:rFonts w:ascii="Arial" w:eastAsia="DengXian" w:hAnsi="Arial"/>
          <w:sz w:val="28"/>
          <w:lang w:eastAsia="zh-CN"/>
        </w:rPr>
        <w:tab/>
        <w:t>General</w:t>
      </w:r>
      <w:bookmarkEnd w:id="25"/>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6"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7"/>
      <w:commentRangeStart w:id="28"/>
      <w:commentRangeStart w:id="29"/>
      <w:commentRangeStart w:id="30"/>
      <w:r>
        <w:rPr>
          <w:rFonts w:eastAsia="DengXian"/>
          <w:i/>
          <w:lang w:eastAsia="zh-CN"/>
        </w:rPr>
        <w:t>sdt-RSRP-Threshold</w:t>
      </w:r>
      <w:commentRangeEnd w:id="27"/>
      <w:r w:rsidR="0076227A">
        <w:rPr>
          <w:rStyle w:val="CommentReference"/>
        </w:rPr>
        <w:commentReference w:id="27"/>
      </w:r>
      <w:commentRangeEnd w:id="28"/>
      <w:r w:rsidR="00910F6C">
        <w:rPr>
          <w:rStyle w:val="CommentReference"/>
        </w:rPr>
        <w:commentReference w:id="28"/>
      </w:r>
      <w:commentRangeEnd w:id="29"/>
      <w:r w:rsidR="00696C02">
        <w:rPr>
          <w:rStyle w:val="CommentReference"/>
        </w:rPr>
        <w:commentReference w:id="29"/>
      </w:r>
      <w:commentRangeEnd w:id="30"/>
      <w:r w:rsidR="00A26F29">
        <w:rPr>
          <w:rStyle w:val="CommentReference"/>
        </w:rPr>
        <w:commentReference w:id="30"/>
      </w:r>
      <w:r>
        <w:rPr>
          <w:rFonts w:eastAsia="DengXian"/>
          <w:lang w:eastAsia="zh-CN"/>
        </w:rPr>
        <w:t>: RSRP threshold for UE to determine whether to perform SDT procedure</w:t>
      </w:r>
      <w:ins w:id="31" w:author="Huawei-YinghaoGuo" w:date="2023-08-22T18:29:00Z">
        <w:r>
          <w:rPr>
            <w:rFonts w:eastAsia="DengXian"/>
            <w:lang w:eastAsia="zh-CN"/>
          </w:rPr>
          <w:t xml:space="preserve"> triggered for MO-SDT</w:t>
        </w:r>
      </w:ins>
      <w:r>
        <w:rPr>
          <w:rFonts w:eastAsia="DengXian"/>
          <w:lang w:eastAsia="zh-CN"/>
        </w:rPr>
        <w:t>;</w:t>
      </w:r>
    </w:p>
    <w:p w14:paraId="081265FE" w14:textId="27006DED" w:rsidR="00A12958" w:rsidRDefault="00573B9C">
      <w:pPr>
        <w:ind w:left="568" w:hanging="284"/>
        <w:rPr>
          <w:ins w:id="32" w:author="Huawei-YinghaoGuo" w:date="2023-06-29T22:17:00Z"/>
          <w:rFonts w:eastAsia="DengXian"/>
          <w:lang w:eastAsia="zh-CN"/>
        </w:rPr>
      </w:pPr>
      <w:ins w:id="33" w:author="Huawei-YinghaoGuo" w:date="2023-08-22T18:28:00Z">
        <w:r>
          <w:rPr>
            <w:rFonts w:eastAsia="DengXian" w:hint="eastAsia"/>
            <w:lang w:eastAsia="zh-CN"/>
          </w:rPr>
          <w:t>-</w:t>
        </w:r>
        <w:r>
          <w:rPr>
            <w:rFonts w:eastAsia="DengXian"/>
            <w:lang w:eastAsia="zh-CN"/>
          </w:rPr>
          <w:tab/>
        </w:r>
        <w:r>
          <w:rPr>
            <w:rFonts w:eastAsia="DengXian"/>
            <w:i/>
            <w:lang w:eastAsia="zh-CN"/>
          </w:rPr>
          <w:t>sdt-RSRP-Threshold</w:t>
        </w:r>
      </w:ins>
      <w:ins w:id="34" w:author="Huawei-YinghaoGuo" w:date="2023-08-22T18:29:00Z">
        <w:r>
          <w:rPr>
            <w:rFonts w:eastAsia="DengXian"/>
            <w:i/>
            <w:lang w:eastAsia="zh-CN"/>
          </w:rPr>
          <w:t>MT</w:t>
        </w:r>
      </w:ins>
      <w:commentRangeStart w:id="35"/>
      <w:ins w:id="36" w:author="LGE (Hanul)" w:date="2023-08-31T11:34:00Z">
        <w:r w:rsidR="00001355">
          <w:rPr>
            <w:rFonts w:eastAsia="DengXian"/>
            <w:lang w:eastAsia="zh-CN"/>
          </w:rPr>
          <w:t>:</w:t>
        </w:r>
        <w:commentRangeEnd w:id="35"/>
        <w:r w:rsidR="00001355">
          <w:rPr>
            <w:rStyle w:val="CommentReference"/>
          </w:rPr>
          <w:commentReference w:id="35"/>
        </w:r>
      </w:ins>
      <w:ins w:id="37" w:author="Huawei-YinghaoGuo" w:date="2023-08-22T18:29:00Z">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38" w:author="Huawei-YinghaoGuo" w:date="2023-06-29T22:17:00Z">
        <w:r>
          <w:rPr>
            <w:rFonts w:eastAsia="DengXian" w:hint="eastAsia"/>
            <w:lang w:eastAsia="zh-CN"/>
          </w:rPr>
          <w:t>-</w:t>
        </w:r>
        <w:r>
          <w:rPr>
            <w:rFonts w:eastAsia="DengXian"/>
            <w:lang w:eastAsia="zh-CN"/>
          </w:rPr>
          <w:tab/>
        </w:r>
        <w:commentRangeStart w:id="39"/>
        <w:commentRangeStart w:id="40"/>
        <w:commentRangeStart w:id="41"/>
        <w:r>
          <w:rPr>
            <w:rFonts w:eastAsia="DengXian"/>
            <w:i/>
            <w:lang w:eastAsia="zh-CN"/>
          </w:rPr>
          <w:t>cg-SDT-MaxDurationToNextCG-Occasion</w:t>
        </w:r>
      </w:ins>
      <w:commentRangeEnd w:id="39"/>
      <w:r w:rsidR="00910F6C">
        <w:rPr>
          <w:rStyle w:val="CommentReference"/>
        </w:rPr>
        <w:commentReference w:id="39"/>
      </w:r>
      <w:commentRangeEnd w:id="40"/>
      <w:r w:rsidR="00696C02">
        <w:rPr>
          <w:rStyle w:val="CommentReference"/>
        </w:rPr>
        <w:commentReference w:id="40"/>
      </w:r>
      <w:commentRangeEnd w:id="41"/>
      <w:r w:rsidR="00A26F29">
        <w:rPr>
          <w:rStyle w:val="CommentReference"/>
        </w:rPr>
        <w:commentReference w:id="41"/>
      </w:r>
      <w:ins w:id="42" w:author="Huawei-YinghaoGuo" w:date="2023-06-29T22:17:00Z">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ins w:id="43" w:author="Huawei-YinghaoGuo" w:date="2023-06-29T22:17:00Z">
        <w:r>
          <w:rPr>
            <w:rFonts w:eastAsia="DengXian"/>
            <w:i/>
            <w:lang w:eastAsia="zh-CN"/>
          </w:rPr>
          <w:t xml:space="preserve"> </w:t>
        </w:r>
        <w:r>
          <w:rPr>
            <w:rFonts w:eastAsia="DengXian"/>
            <w:lang w:eastAsia="zh-CN"/>
          </w:rPr>
          <w:t>when the</w:t>
        </w:r>
      </w:ins>
      <w:ins w:id="44" w:author="Huawei-YinghaoGuo" w:date="2023-08-22T18:34:00Z">
        <w:r>
          <w:rPr>
            <w:rFonts w:eastAsia="DengXian"/>
            <w:lang w:eastAsia="zh-CN"/>
          </w:rPr>
          <w:t xml:space="preserve"> SDT</w:t>
        </w:r>
      </w:ins>
      <w:ins w:id="45"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6"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7"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ins w:id="48"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9"/>
      <w:commentRangeStart w:id="50"/>
      <w:ins w:id="51" w:author="Huawei-YinghaoGuo" w:date="2023-08-22T18:31:00Z">
        <w:r>
          <w:rPr>
            <w:rFonts w:eastAsia="DengXian"/>
            <w:lang w:eastAsia="zh-CN"/>
          </w:rPr>
          <w:t>1&gt;</w:t>
        </w:r>
        <w:r>
          <w:rPr>
            <w:rFonts w:eastAsia="DengXian"/>
            <w:lang w:eastAsia="zh-CN"/>
          </w:rPr>
          <w:tab/>
          <w:t xml:space="preserve">if the RSRP </w:t>
        </w:r>
      </w:ins>
      <w:commentRangeEnd w:id="49"/>
      <w:r w:rsidR="0076227A">
        <w:rPr>
          <w:rStyle w:val="CommentReference"/>
        </w:rPr>
        <w:commentReference w:id="49"/>
      </w:r>
      <w:commentRangeEnd w:id="50"/>
      <w:r w:rsidR="00017D27">
        <w:rPr>
          <w:rStyle w:val="CommentReference"/>
        </w:rPr>
        <w:commentReference w:id="50"/>
      </w:r>
      <w:ins w:id="52" w:author="Huawei-YinghaoGuo" w:date="2023-08-22T18:31:00Z">
        <w:r>
          <w:rPr>
            <w:rFonts w:eastAsia="DengXian"/>
            <w:lang w:eastAsia="zh-CN"/>
          </w:rPr>
          <w:t xml:space="preserve">of the downlink pathloss reference is higher than </w:t>
        </w:r>
        <w:commentRangeStart w:id="53"/>
        <w:commentRangeStart w:id="54"/>
        <w:r>
          <w:rPr>
            <w:rFonts w:eastAsia="DengXian"/>
            <w:i/>
            <w:lang w:eastAsia="zh-CN"/>
          </w:rPr>
          <w:t>sdt-RSRP-ThresholdMT-SDT</w:t>
        </w:r>
        <w:r>
          <w:rPr>
            <w:rFonts w:eastAsia="DengXian"/>
            <w:lang w:eastAsia="zh-CN"/>
          </w:rPr>
          <w:t xml:space="preserve">, </w:t>
        </w:r>
      </w:ins>
      <w:commentRangeEnd w:id="53"/>
      <w:r w:rsidR="00696C02">
        <w:rPr>
          <w:rStyle w:val="CommentReference"/>
        </w:rPr>
        <w:commentReference w:id="53"/>
      </w:r>
      <w:commentRangeEnd w:id="54"/>
      <w:r w:rsidR="00CB67FC">
        <w:rPr>
          <w:rStyle w:val="CommentReference"/>
        </w:rPr>
        <w:commentReference w:id="54"/>
      </w:r>
      <w:ins w:id="55"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56" w:author="Huawei-YinghaoGuo" w:date="2023-08-22T18:31:00Z"/>
          <w:rFonts w:eastAsia="DengXian"/>
          <w:lang w:eastAsia="zh-CN"/>
        </w:rPr>
      </w:pPr>
      <w:del w:id="57"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58"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59" w:author="Huawei-YinghaoGuo" w:date="2023-08-29T15:05:00Z">
        <w:r w:rsidR="00285546">
          <w:rPr>
            <w:lang w:eastAsia="zh-CN"/>
          </w:rPr>
          <w:t xml:space="preserve">; </w:t>
        </w:r>
        <w:commentRangeStart w:id="60"/>
        <w:commentRangeStart w:id="61"/>
        <w:commentRangeStart w:id="62"/>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60"/>
      <w:r w:rsidR="00910F6C">
        <w:rPr>
          <w:rStyle w:val="CommentReference"/>
        </w:rPr>
        <w:commentReference w:id="60"/>
      </w:r>
      <w:commentRangeEnd w:id="61"/>
      <w:r w:rsidR="00A26F29">
        <w:rPr>
          <w:rStyle w:val="CommentReference"/>
        </w:rPr>
        <w:commentReference w:id="61"/>
      </w:r>
      <w:commentRangeEnd w:id="62"/>
      <w:r w:rsidR="00474C9C">
        <w:rPr>
          <w:rStyle w:val="CommentReference"/>
        </w:rPr>
        <w:commentReference w:id="62"/>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63" w:author="Huawei-YinghaoGuo" w:date="2023-08-29T14:49:00Z">
        <w:r w:rsidR="004F7F8A">
          <w:rPr>
            <w:lang w:eastAsia="zh-CN"/>
          </w:rPr>
          <w:t xml:space="preserve">, and </w:t>
        </w:r>
        <w:commentRangeStart w:id="64"/>
        <w:commentRangeStart w:id="65"/>
        <w:commentRangeStart w:id="66"/>
        <w:commentRangeStart w:id="67"/>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cg-SDT-MaxDurationToNextCG-Occasion</w:t>
        </w:r>
        <w:r w:rsidR="004F7F8A">
          <w:rPr>
            <w:rFonts w:eastAsia="DengXian"/>
            <w:lang w:eastAsia="zh-CN"/>
          </w:rPr>
          <w:t>, if configured</w:t>
        </w:r>
      </w:ins>
      <w:commentRangeEnd w:id="64"/>
      <w:r w:rsidR="00910F6C">
        <w:rPr>
          <w:rStyle w:val="CommentReference"/>
        </w:rPr>
        <w:commentReference w:id="64"/>
      </w:r>
      <w:commentRangeEnd w:id="65"/>
      <w:r w:rsidR="00A26F29">
        <w:rPr>
          <w:rStyle w:val="CommentReference"/>
        </w:rPr>
        <w:commentReference w:id="65"/>
      </w:r>
      <w:commentRangeEnd w:id="66"/>
      <w:r w:rsidR="002D4F2B">
        <w:rPr>
          <w:rStyle w:val="CommentReference"/>
        </w:rPr>
        <w:commentReference w:id="66"/>
      </w:r>
      <w:commentRangeEnd w:id="67"/>
      <w:r w:rsidR="003D4348">
        <w:rPr>
          <w:rStyle w:val="CommentReference"/>
        </w:rPr>
        <w:commentReference w:id="67"/>
      </w:r>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68" w:author="Huawei-YinghaoGuo" w:date="2023-06-29T22:19:00Z"/>
          <w:lang w:eastAsia="zh-CN"/>
        </w:rPr>
      </w:pPr>
      <w:r>
        <w:rPr>
          <w:lang w:eastAsia="zh-CN"/>
        </w:rPr>
        <w:t>2&gt;</w:t>
      </w:r>
      <w:r>
        <w:rPr>
          <w:lang w:eastAsia="zh-CN"/>
        </w:rPr>
        <w:tab/>
        <w:t xml:space="preserve">else if </w:t>
      </w:r>
      <w:ins w:id="69"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r>
        <w:rPr>
          <w:i/>
          <w:iCs/>
          <w:lang w:eastAsia="zh-CN"/>
        </w:rPr>
        <w:t>initialUplinkBWP</w:t>
      </w:r>
      <w:ins w:id="70" w:author="Huawei-YinghaoGuo" w:date="2023-06-29T22:18:00Z">
        <w:r>
          <w:rPr>
            <w:lang w:eastAsia="zh-CN"/>
          </w:rPr>
          <w:t>; or</w:t>
        </w:r>
      </w:ins>
      <w:del w:id="71" w:author="Huawei-YinghaoGuo" w:date="2023-06-29T22:18:00Z">
        <w:r>
          <w:rPr>
            <w:lang w:eastAsia="zh-CN"/>
          </w:rPr>
          <w:delText>:</w:delText>
        </w:r>
      </w:del>
    </w:p>
    <w:p w14:paraId="51E6903D" w14:textId="77777777" w:rsidR="00A12958" w:rsidRDefault="00573B9C">
      <w:pPr>
        <w:pStyle w:val="B2"/>
        <w:rPr>
          <w:rFonts w:eastAsia="DengXian"/>
          <w:lang w:eastAsia="zh-CN"/>
        </w:rPr>
      </w:pPr>
      <w:ins w:id="72"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20" w:author="Nokia (Samuli)" w:date="2023-08-30T11:33:00Z" w:initials="Nokia">
    <w:p w14:paraId="2BA4AA4E" w14:textId="0036B3A1" w:rsidR="00EF6C10" w:rsidRDefault="00EF6C10" w:rsidP="00863FC4">
      <w:pPr>
        <w:pStyle w:val="CommentText"/>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2" w:author="LGE (Hanul)" w:date="2023-08-31T11:32:00Z" w:initials="(Hanul)">
    <w:p w14:paraId="2881A925" w14:textId="77777777" w:rsidR="00001355" w:rsidRDefault="0098685E" w:rsidP="0098685E">
      <w:pPr>
        <w:pStyle w:val="CommentText"/>
      </w:pPr>
      <w:r>
        <w:rPr>
          <w:rStyle w:val="CommentReference"/>
        </w:rPr>
        <w:annotationRef/>
      </w:r>
      <w:r>
        <w:t xml:space="preserve">We also think the original wording is better. </w:t>
      </w:r>
    </w:p>
    <w:p w14:paraId="2B66F937" w14:textId="5E2ABC2B" w:rsidR="0098685E" w:rsidRPr="0098685E" w:rsidRDefault="0098685E" w:rsidP="0098685E">
      <w:pPr>
        <w:pStyle w:val="CommentText"/>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7" w:author="Samsung (Anil)" w:date="2023-08-29T15:35:00Z" w:initials="Anil">
    <w:p w14:paraId="29B2B932" w14:textId="7A09ADE7"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76227A" w:rsidRDefault="0076227A">
      <w:pPr>
        <w:pStyle w:val="CommentText"/>
        <w:rPr>
          <w:color w:val="FF0000"/>
          <w:u w:val="single"/>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8"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29"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30" w:author="Samsung (Anil)" w:date="2023-08-30T09:45:00Z" w:initials="Anil">
    <w:p w14:paraId="0119C335" w14:textId="44932A9E" w:rsidR="00A26F29" w:rsidRDefault="00A26F29">
      <w:pPr>
        <w:pStyle w:val="CommentText"/>
      </w:pPr>
      <w:r>
        <w:rPr>
          <w:rStyle w:val="CommentReference"/>
        </w:rPr>
        <w:annotationRef/>
      </w:r>
      <w:r>
        <w:t>We need to make sure that meaning of ‘if configured’ is clear and there is no contradiction between MAC/RRC spec. Prefer to capture here as term ‘if configured’ is used in the condition.</w:t>
      </w:r>
    </w:p>
  </w:comment>
  <w:comment w:id="35" w:author="LGE (Hanul)" w:date="2023-08-31T11:34:00Z" w:initials="(Hanul)">
    <w:p w14:paraId="5685D990" w14:textId="32C64A76" w:rsidR="00001355" w:rsidRPr="00001355" w:rsidRDefault="00001355">
      <w:pPr>
        <w:pStyle w:val="CommentText"/>
        <w:rPr>
          <w:rFonts w:eastAsia="Malgun Gothic"/>
          <w:lang w:eastAsia="ko-KR"/>
        </w:rPr>
      </w:pPr>
      <w:r>
        <w:rPr>
          <w:rStyle w:val="CommentReference"/>
        </w:rPr>
        <w:annotationRef/>
      </w:r>
      <w:r>
        <w:rPr>
          <w:rFonts w:eastAsia="Malgun Gothic"/>
          <w:lang w:eastAsia="ko-KR"/>
        </w:rPr>
        <w:t>Missing ":"</w:t>
      </w:r>
    </w:p>
  </w:comment>
  <w:comment w:id="39"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40"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41" w:author="Samsung (Anil)" w:date="2023-08-30T09:47:00Z" w:initials="Anil">
    <w:p w14:paraId="37EFEF74" w14:textId="32430743" w:rsidR="00A26F29" w:rsidRDefault="00A26F29">
      <w:pPr>
        <w:pStyle w:val="CommentText"/>
      </w:pPr>
      <w:r>
        <w:rPr>
          <w:rStyle w:val="CommentReference"/>
        </w:rPr>
        <w:annotationRef/>
      </w:r>
      <w:r>
        <w:t xml:space="preserve">Yes, it is agreed and not pending/dependent on TEI 18 discussion. </w:t>
      </w:r>
    </w:p>
  </w:comment>
  <w:comment w:id="49"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50" w:author="LGE (Hanul)" w:date="2023-08-31T11:45:00Z" w:initials="(Hanul)">
    <w:p w14:paraId="784874F1" w14:textId="6AA86645" w:rsidR="00017D27" w:rsidRDefault="00017D27">
      <w:pPr>
        <w:pStyle w:val="CommentText"/>
      </w:pPr>
      <w:r>
        <w:rPr>
          <w:rStyle w:val="CommentReference"/>
        </w:rPr>
        <w:annotationRef/>
      </w:r>
      <w:r>
        <w:rPr>
          <w:rFonts w:eastAsia="Malgun Gothic" w:hint="eastAsia"/>
          <w:lang w:eastAsia="ko-KR"/>
        </w:rPr>
        <w:t>A</w:t>
      </w:r>
      <w:r>
        <w:rPr>
          <w:rFonts w:eastAsia="Malgun Gothic"/>
          <w:lang w:eastAsia="ko-KR"/>
        </w:rPr>
        <w:t xml:space="preserve">gree with Samsung. The case where </w:t>
      </w:r>
      <w:r>
        <w:rPr>
          <w:rFonts w:eastAsia="DengXian"/>
          <w:i/>
          <w:lang w:eastAsia="zh-CN"/>
        </w:rPr>
        <w:t>sdt-RSRP-Threshold</w:t>
      </w:r>
      <w:r>
        <w:t xml:space="preserve"> is used for MT-SDT should be considered. </w:t>
      </w:r>
    </w:p>
    <w:p w14:paraId="7D26F662" w14:textId="583D5916" w:rsidR="002E2EEC" w:rsidRPr="00017D27" w:rsidRDefault="00017D27">
      <w:pPr>
        <w:pStyle w:val="CommentText"/>
        <w:rPr>
          <w:rFonts w:eastAsia="Malgun Gothic"/>
          <w:lang w:eastAsia="ko-KR"/>
        </w:rPr>
      </w:pPr>
      <w:r>
        <w:t xml:space="preserve">In addition, </w:t>
      </w:r>
      <w:r w:rsidRPr="00017D27">
        <w:t>there may be a case both sdt-RSRP-Threshold and sdt-RSRP-ThresholdMT are not configured.</w:t>
      </w:r>
      <w:r w:rsidR="002E2EEC">
        <w:t xml:space="preserve"> We think this case should also be considered.</w:t>
      </w:r>
    </w:p>
  </w:comment>
  <w:comment w:id="53" w:author="Ericsson (Oskar)" w:date="2023-08-30T14:31:00Z" w:initials="E">
    <w:p w14:paraId="12E82C94" w14:textId="77777777" w:rsidR="00696C02" w:rsidRDefault="00696C02" w:rsidP="0091197B">
      <w:r>
        <w:rPr>
          <w:rStyle w:val="CommentReference"/>
        </w:rPr>
        <w:annotationRef/>
      </w:r>
      <w:r>
        <w:rPr>
          <w:color w:val="000000"/>
        </w:rPr>
        <w:t>Name is not aligning with further above.</w:t>
      </w:r>
    </w:p>
  </w:comment>
  <w:comment w:id="54" w:author="LGE (Hanul)" w:date="2023-08-31T11:36:00Z" w:initials="(Hanul)">
    <w:p w14:paraId="1AC4A3B2" w14:textId="494C00C1" w:rsidR="00CB67FC" w:rsidRPr="00CB67FC" w:rsidRDefault="00CB67FC">
      <w:pPr>
        <w:pStyle w:val="CommentText"/>
        <w:rPr>
          <w:rFonts w:eastAsia="Malgun Gothic"/>
          <w:lang w:eastAsia="ko-KR"/>
        </w:rPr>
      </w:pPr>
      <w:r>
        <w:rPr>
          <w:rStyle w:val="CommentReference"/>
        </w:rPr>
        <w:annotationRef/>
      </w:r>
      <w:r>
        <w:rPr>
          <w:rFonts w:eastAsia="Malgun Gothic" w:hint="eastAsia"/>
          <w:lang w:eastAsia="ko-KR"/>
        </w:rPr>
        <w:t>Agree. This should be "</w:t>
      </w:r>
      <w:r w:rsidRPr="00CB67FC">
        <w:rPr>
          <w:rFonts w:eastAsia="Malgun Gothic"/>
          <w:i/>
          <w:lang w:eastAsia="ko-KR"/>
        </w:rPr>
        <w:t>sdt-RSRP-ThresholdMT</w:t>
      </w:r>
      <w:r>
        <w:rPr>
          <w:rFonts w:eastAsia="Malgun Gothic"/>
          <w:lang w:eastAsia="ko-KR"/>
        </w:rPr>
        <w:t>", i.e. remove "-SDT"</w:t>
      </w:r>
    </w:p>
  </w:comment>
  <w:comment w:id="60"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61" w:author="Samsung (Anil)" w:date="2023-08-30T09:49:00Z" w:initials="Anil">
    <w:p w14:paraId="51D4030D" w14:textId="600A6C97" w:rsidR="00A26F29" w:rsidRDefault="00A26F29">
      <w:pPr>
        <w:pStyle w:val="CommentText"/>
      </w:pPr>
      <w:r>
        <w:rPr>
          <w:rStyle w:val="CommentReference"/>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CommentText"/>
      </w:pPr>
    </w:p>
    <w:p w14:paraId="507A6344" w14:textId="66FA6E7E" w:rsidR="00A26F29" w:rsidRDefault="00A26F29">
      <w:pPr>
        <w:pStyle w:val="CommentText"/>
      </w:pPr>
      <w:r>
        <w:t xml:space="preserve">So in our view current text is fine and additional condition (“and </w:t>
      </w:r>
      <w:r>
        <w:rPr>
          <w:color w:val="0000FF"/>
        </w:rPr>
        <w:t>there is no RB configured for SDT with data available for transmission”</w:t>
      </w:r>
      <w:r>
        <w:t>) is not needed.</w:t>
      </w:r>
    </w:p>
  </w:comment>
  <w:comment w:id="62" w:author="Qualcomm (Ruiming)" w:date="2023-08-31T15:48:00Z" w:initials="RZ">
    <w:p w14:paraId="74009469" w14:textId="77777777" w:rsidR="001654C0" w:rsidRDefault="00474C9C" w:rsidP="00210C2B">
      <w:pPr>
        <w:pStyle w:val="CommentText"/>
      </w:pPr>
      <w:r>
        <w:rPr>
          <w:rStyle w:val="CommentReference"/>
        </w:rPr>
        <w:annotationRef/>
      </w:r>
      <w:r w:rsidR="001654C0">
        <w:t>Same view with Samsung, i.e. current text is fine.</w:t>
      </w:r>
    </w:p>
  </w:comment>
  <w:comment w:id="64" w:author="Nokia (Samuli)" w:date="2023-08-30T11:28:00Z" w:initials="Nokia">
    <w:p w14:paraId="1257BEBC" w14:textId="178BD3F4" w:rsidR="00910F6C" w:rsidRPr="003D4348" w:rsidRDefault="00910F6C" w:rsidP="00A45773">
      <w:pPr>
        <w:pStyle w:val="CommentText"/>
        <w:rPr>
          <w:lang w:val="en-US"/>
        </w:rPr>
      </w:pPr>
      <w:r>
        <w:rPr>
          <w:rStyle w:val="CommentReference"/>
        </w:rPr>
        <w:annotationRef/>
      </w:r>
      <w:r>
        <w:t>This is kind of not part of the completed MT-SDT WID and should be removed from the running CR for now. Separate CR for that feature can be created when agreed.</w:t>
      </w:r>
    </w:p>
  </w:comment>
  <w:comment w:id="65" w:author="Samsung (Anil)" w:date="2023-08-30T09:53:00Z" w:initials="Anil">
    <w:p w14:paraId="0AF4CFE0" w14:textId="0A91E714" w:rsidR="00A26F29" w:rsidRDefault="00A26F29">
      <w:pPr>
        <w:pStyle w:val="CommentText"/>
      </w:pPr>
      <w:r>
        <w:rPr>
          <w:rStyle w:val="CommentReference"/>
        </w:rPr>
        <w:annotationRef/>
      </w:r>
      <w:r>
        <w:t>Its already agreed in MT-SDT session.</w:t>
      </w:r>
    </w:p>
  </w:comment>
  <w:comment w:id="66" w:author="MediaTek (Mutai Lin)" w:date="2023-08-31T11:08:00Z" w:initials="MTLin">
    <w:p w14:paraId="0445110D" w14:textId="77777777" w:rsidR="002D4F2B" w:rsidRDefault="002D4F2B" w:rsidP="002D4F2B">
      <w:pPr>
        <w:pStyle w:val="CommentText"/>
        <w:rPr>
          <w:rStyle w:val="CommentReference"/>
        </w:rPr>
      </w:pPr>
      <w:r>
        <w:rPr>
          <w:rStyle w:val="CommentReference"/>
        </w:rPr>
        <w:annotationRef/>
      </w:r>
      <w:r>
        <w:rPr>
          <w:rStyle w:val="CommentReference"/>
        </w:rPr>
        <w:t>We have the same understanding as Samsung, but we would like to confirm following interpretation of function split here:</w:t>
      </w:r>
    </w:p>
    <w:p w14:paraId="68ABDDB0" w14:textId="77777777" w:rsidR="002D4F2B" w:rsidRDefault="002D4F2B" w:rsidP="002D4F2B">
      <w:pPr>
        <w:pStyle w:val="CommentText"/>
        <w:rPr>
          <w:rFonts w:eastAsia="PMingLiU"/>
          <w:lang w:eastAsia="zh-TW"/>
        </w:rPr>
      </w:pPr>
      <w:r>
        <w:rPr>
          <w:rFonts w:eastAsia="PMingLiU"/>
          <w:lang w:eastAsia="zh-TW"/>
        </w:rPr>
        <w:t xml:space="preserve">From MAC perspective, it just performs time gap check when the </w:t>
      </w:r>
      <w:r>
        <w:rPr>
          <w:rFonts w:eastAsia="PMingLiU"/>
          <w:i/>
          <w:iCs/>
          <w:lang w:eastAsia="zh-TW"/>
        </w:rPr>
        <w:t>cg-SDT-MaxDurationToNextCG-Occasion</w:t>
      </w:r>
      <w:r>
        <w:rPr>
          <w:rFonts w:eastAsia="PMingLiU"/>
          <w:lang w:eastAsia="zh-TW"/>
        </w:rPr>
        <w:t xml:space="preserve"> is configured by RRC, regardless of whether it’s R17 MO or R18 MT CG-SDT.</w:t>
      </w:r>
    </w:p>
    <w:p w14:paraId="7F8C40AE" w14:textId="614195FB" w:rsidR="002D4F2B" w:rsidRPr="002D4F2B" w:rsidRDefault="002D4F2B">
      <w:pPr>
        <w:pStyle w:val="CommentText"/>
        <w:rPr>
          <w:rFonts w:eastAsia="PMingLiU"/>
          <w:lang w:eastAsia="zh-TW"/>
        </w:rPr>
      </w:pPr>
      <w:r>
        <w:rPr>
          <w:rFonts w:eastAsia="PMingLiU"/>
          <w:lang w:eastAsia="zh-TW"/>
        </w:rPr>
        <w:t>If the aforementioned is not the common understanding, we may need a similar approach like the way in Change6a to distinguish R17 and R18 CG-SDT.</w:t>
      </w:r>
    </w:p>
  </w:comment>
  <w:comment w:id="67" w:author="Qualcomm (Ruiming)" w:date="2023-08-31T15:51:00Z" w:initials="RZ">
    <w:p w14:paraId="553EEAFB" w14:textId="77777777" w:rsidR="003D4348" w:rsidRDefault="003D4348" w:rsidP="00082311">
      <w:pPr>
        <w:pStyle w:val="CommentText"/>
      </w:pPr>
      <w:r>
        <w:rPr>
          <w:rStyle w:val="CommentReference"/>
        </w:rPr>
        <w:annotationRef/>
      </w:r>
      <w:r>
        <w:t>This feature is applied for Rel-18 MO and MT-SDT instead of Rel-17 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2BA4AA4E" w15:done="0"/>
  <w15:commentEx w15:paraId="23903E36" w15:paraIdParent="2BA4AA4E" w15:done="0"/>
  <w15:commentEx w15:paraId="2B66F937"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5685D990" w15:done="0"/>
  <w15:commentEx w15:paraId="19B7C240" w15:done="0"/>
  <w15:commentEx w15:paraId="0B4553F8" w15:paraIdParent="19B7C240" w15:done="0"/>
  <w15:commentEx w15:paraId="37EFEF74" w15:paraIdParent="19B7C240" w15:done="0"/>
  <w15:commentEx w15:paraId="04F49CFB" w15:done="0"/>
  <w15:commentEx w15:paraId="7D26F662" w15:paraIdParent="04F49CFB" w15:done="0"/>
  <w15:commentEx w15:paraId="12E82C94" w15:done="0"/>
  <w15:commentEx w15:paraId="1AC4A3B2" w15:paraIdParent="12E82C94" w15:done="0"/>
  <w15:commentEx w15:paraId="3CE8525E" w15:done="0"/>
  <w15:commentEx w15:paraId="507A6344" w15:paraIdParent="3CE8525E" w15:done="0"/>
  <w15:commentEx w15:paraId="74009469" w15:paraIdParent="3CE8525E" w15:done="0"/>
  <w15:commentEx w15:paraId="1257BEBC" w15:done="0"/>
  <w15:commentEx w15:paraId="0AF4CFE0" w15:paraIdParent="1257BEBC" w15:done="0"/>
  <w15:commentEx w15:paraId="7F8C40AE" w15:paraIdParent="1257BEBC" w15:done="0"/>
  <w15:commentEx w15:paraId="553EEAFB"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9A46D" w16cex:dateUtc="2023-08-30T08:20:00Z"/>
  <w16cex:commentExtensible w16cex:durableId="2899D095" w16cex:dateUtc="2023-08-30T12:28:00Z"/>
  <w16cex:commentExtensible w16cex:durableId="2899A644" w16cex:dateUtc="2023-08-30T08:28:00Z"/>
  <w16cex:commentExtensible w16cex:durableId="2899D0E6" w16cex:dateUtc="2023-08-30T12:29: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9A659" w16cex:dateUtc="2023-08-30T08:28:00Z"/>
  <w16cex:commentExtensible w16cex:durableId="289AF343" w16cex:dateUtc="2023-08-31T03:08:00Z"/>
  <w16cex:commentExtensible w16cex:durableId="289B358C" w16cex:dateUtc="2023-08-31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2BA4AA4E" w16cid:durableId="2899A7A5"/>
  <w16cid:commentId w16cid:paraId="23903E36" w16cid:durableId="2899CFC7"/>
  <w16cid:commentId w16cid:paraId="2B66F937" w16cid:durableId="289AF2E6"/>
  <w16cid:commentId w16cid:paraId="1E956743" w16cid:durableId="28988EBE"/>
  <w16cid:commentId w16cid:paraId="060E4B24" w16cid:durableId="2899A46D"/>
  <w16cid:commentId w16cid:paraId="7627B2A4" w16cid:durableId="2899D095"/>
  <w16cid:commentId w16cid:paraId="0119C335" w16cid:durableId="28998E3F"/>
  <w16cid:commentId w16cid:paraId="5685D990" w16cid:durableId="289AF2EB"/>
  <w16cid:commentId w16cid:paraId="19B7C240" w16cid:durableId="2899A644"/>
  <w16cid:commentId w16cid:paraId="0B4553F8" w16cid:durableId="2899D0E6"/>
  <w16cid:commentId w16cid:paraId="37EFEF74" w16cid:durableId="28998EC7"/>
  <w16cid:commentId w16cid:paraId="04F49CFB" w16cid:durableId="28989044"/>
  <w16cid:commentId w16cid:paraId="7D26F662" w16cid:durableId="289AF2F0"/>
  <w16cid:commentId w16cid:paraId="12E82C94" w16cid:durableId="2899D12A"/>
  <w16cid:commentId w16cid:paraId="1AC4A3B2" w16cid:durableId="289AF2F2"/>
  <w16cid:commentId w16cid:paraId="3CE8525E" w16cid:durableId="2899A5DD"/>
  <w16cid:commentId w16cid:paraId="507A6344" w16cid:durableId="28998F1E"/>
  <w16cid:commentId w16cid:paraId="74009469" w16cid:durableId="289B34B6"/>
  <w16cid:commentId w16cid:paraId="1257BEBC" w16cid:durableId="2899A659"/>
  <w16cid:commentId w16cid:paraId="0AF4CFE0" w16cid:durableId="2899900A"/>
  <w16cid:commentId w16cid:paraId="7F8C40AE" w16cid:durableId="289AF343"/>
  <w16cid:commentId w16cid:paraId="553EEAFB" w16cid:durableId="289B3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5B88" w14:textId="77777777" w:rsidR="00CE491A" w:rsidRDefault="00CE491A">
      <w:pPr>
        <w:spacing w:after="0"/>
      </w:pPr>
      <w:r>
        <w:separator/>
      </w:r>
    </w:p>
  </w:endnote>
  <w:endnote w:type="continuationSeparator" w:id="0">
    <w:p w14:paraId="6ACB9BC3" w14:textId="77777777" w:rsidR="00CE491A" w:rsidRDefault="00CE4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7BBB" w14:textId="77777777" w:rsidR="00CE491A" w:rsidRDefault="00CE491A">
      <w:pPr>
        <w:spacing w:after="0"/>
      </w:pPr>
      <w:r>
        <w:separator/>
      </w:r>
    </w:p>
  </w:footnote>
  <w:footnote w:type="continuationSeparator" w:id="0">
    <w:p w14:paraId="1F9339F1" w14:textId="77777777" w:rsidR="00CE491A" w:rsidRDefault="00CE49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70132140">
    <w:abstractNumId w:val="5"/>
  </w:num>
  <w:num w:numId="2" w16cid:durableId="1723598535">
    <w:abstractNumId w:val="0"/>
  </w:num>
  <w:num w:numId="3" w16cid:durableId="537275502">
    <w:abstractNumId w:val="3"/>
  </w:num>
  <w:num w:numId="4" w16cid:durableId="1483110585">
    <w:abstractNumId w:val="1"/>
  </w:num>
  <w:num w:numId="5" w16cid:durableId="982126014">
    <w:abstractNumId w:val="2"/>
  </w:num>
  <w:num w:numId="6" w16cid:durableId="1169322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LGE (Hanul)">
    <w15:presenceInfo w15:providerId="None" w15:userId="LGE (Hanul)"/>
  </w15:person>
  <w15:person w15:author="Samsung (Anil)">
    <w15:presenceInfo w15:providerId="None" w15:userId="Samsung (Anil)"/>
  </w15:person>
  <w15:person w15:author="Qualcomm (Ruiming)">
    <w15:presenceInfo w15:providerId="None" w15:userId="Qualcomm (Ruimi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590A"/>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FB099-7C6B-4599-8A33-CDFAB54E66AB}">
  <ds:schemaRefs>
    <ds:schemaRef ds:uri="http://schemas.openxmlformats.org/officeDocument/2006/bibliography"/>
  </ds:schemaRefs>
</ds:datastoreItem>
</file>

<file path=customXml/itemProps2.xml><?xml version="1.0" encoding="utf-8"?>
<ds:datastoreItem xmlns:ds="http://schemas.openxmlformats.org/officeDocument/2006/customXml" ds:itemID="{8FEED7E2-90C3-4D67-8A34-1E9873F2EEA1}">
  <ds:schemaRefs>
    <ds:schemaRef ds:uri="http://schemas.openxmlformats.org/officeDocument/2006/bibliography"/>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7</Pages>
  <Words>2602</Words>
  <Characters>14510</Characters>
  <Application>Microsoft Office Word</Application>
  <DocSecurity>0</DocSecurity>
  <Lines>120</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Qualcomm (Ruiming)</cp:lastModifiedBy>
  <cp:revision>5</cp:revision>
  <dcterms:created xsi:type="dcterms:W3CDTF">2023-08-31T06:54:00Z</dcterms:created>
  <dcterms:modified xsi:type="dcterms:W3CDTF">2023-08-31T07:54:00Z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