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2E104" w14:textId="3EFBAC03"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Pr>
          <w:rFonts w:ascii="Arial" w:hAnsi="Arial" w:cs="Arial"/>
          <w:b/>
          <w:bCs/>
          <w:szCs w:val="22"/>
        </w:rPr>
        <w:t xml:space="preserve">                                                                       </w:t>
      </w:r>
      <w:r w:rsidRPr="008D61DA">
        <w:rPr>
          <w:rFonts w:ascii="Arial" w:hAnsi="Arial" w:cs="Arial"/>
          <w:b/>
          <w:bCs/>
          <w:szCs w:val="22"/>
        </w:rPr>
        <w:t>R2-230xxxx</w:t>
      </w:r>
    </w:p>
    <w:p w14:paraId="55C142F5" w14:textId="790F2221" w:rsidR="00696311" w:rsidRPr="008D61DA" w:rsidRDefault="008D61DA" w:rsidP="008D61DA">
      <w:pPr>
        <w:pStyle w:val="3GPPHeader"/>
        <w:spacing w:after="120"/>
        <w:rPr>
          <w:sz w:val="21"/>
          <w:szCs w:val="21"/>
        </w:rPr>
      </w:pPr>
      <w:bookmarkStart w:id="2" w:name="_Hlk68164115"/>
      <w:bookmarkEnd w:id="0"/>
      <w:r w:rsidRPr="008D61DA">
        <w:rPr>
          <w:rFonts w:ascii="Arial" w:eastAsia="SimSun" w:hAnsi="Arial" w:cs="Arial" w:hint="eastAsia"/>
          <w:sz w:val="22"/>
          <w:szCs w:val="22"/>
          <w:lang w:eastAsia="zh-CN"/>
        </w:rPr>
        <w:t>Toulouse</w:t>
      </w:r>
      <w:r w:rsidRPr="008D61DA">
        <w:rPr>
          <w:rFonts w:ascii="Arial" w:hAnsi="Arial" w:cs="Arial"/>
          <w:sz w:val="22"/>
          <w:szCs w:val="22"/>
        </w:rPr>
        <w:t xml:space="preserve">, </w:t>
      </w:r>
      <w:r w:rsidRPr="008D61DA">
        <w:rPr>
          <w:rFonts w:ascii="Arial" w:eastAsia="SimSun" w:hAnsi="Arial" w:cs="Arial" w:hint="eastAsia"/>
          <w:sz w:val="22"/>
          <w:szCs w:val="22"/>
          <w:lang w:eastAsia="zh-CN"/>
        </w:rPr>
        <w:t>France</w:t>
      </w:r>
      <w:r w:rsidRPr="008D61DA">
        <w:rPr>
          <w:rFonts w:ascii="Arial" w:hAnsi="Arial" w:cs="Arial"/>
          <w:sz w:val="22"/>
          <w:szCs w:val="22"/>
        </w:rPr>
        <w:t>,</w:t>
      </w:r>
      <w:r w:rsidRPr="008D61DA">
        <w:rPr>
          <w:rFonts w:ascii="Arial" w:hAnsi="Arial" w:cs="Arial" w:hint="eastAsia"/>
          <w:sz w:val="22"/>
          <w:szCs w:val="22"/>
        </w:rPr>
        <w:t xml:space="preserve"> </w:t>
      </w:r>
      <w:r w:rsidRPr="008D61DA">
        <w:rPr>
          <w:rFonts w:ascii="Arial" w:hAnsi="Arial" w:cs="Arial"/>
          <w:sz w:val="22"/>
          <w:szCs w:val="22"/>
        </w:rPr>
        <w:t>2</w:t>
      </w:r>
      <w:r w:rsidRPr="008D61DA">
        <w:rPr>
          <w:rFonts w:ascii="Arial" w:eastAsia="SimSun" w:hAnsi="Arial" w:cs="Arial" w:hint="eastAsia"/>
          <w:sz w:val="22"/>
          <w:szCs w:val="22"/>
          <w:lang w:eastAsia="zh-CN"/>
        </w:rPr>
        <w:t>1</w:t>
      </w:r>
      <w:r w:rsidRPr="008D61DA">
        <w:rPr>
          <w:rFonts w:ascii="Arial" w:eastAsia="SimSun" w:hAnsi="Arial" w:cs="Arial"/>
          <w:bCs/>
          <w:sz w:val="22"/>
          <w:szCs w:val="22"/>
          <w:lang w:eastAsia="zh-CN"/>
        </w:rPr>
        <w:t>- 2</w:t>
      </w:r>
      <w:r w:rsidRPr="008D61DA">
        <w:rPr>
          <w:rFonts w:ascii="Arial" w:eastAsia="SimSun" w:hAnsi="Arial" w:cs="Arial" w:hint="eastAsia"/>
          <w:bCs/>
          <w:sz w:val="22"/>
          <w:szCs w:val="22"/>
          <w:lang w:eastAsia="zh-CN"/>
        </w:rPr>
        <w:t>5</w:t>
      </w:r>
      <w:r w:rsidRPr="008D61DA">
        <w:rPr>
          <w:rFonts w:ascii="Arial" w:eastAsia="SimSun" w:hAnsi="Arial" w:cs="Arial"/>
          <w:bCs/>
          <w:sz w:val="22"/>
          <w:szCs w:val="22"/>
          <w:vertAlign w:val="superscript"/>
          <w:lang w:eastAsia="zh-CN"/>
        </w:rPr>
        <w:t xml:space="preserve"> </w:t>
      </w:r>
      <w:r w:rsidRPr="008D61DA">
        <w:rPr>
          <w:rFonts w:ascii="Arial" w:eastAsia="SimSun" w:hAnsi="Arial" w:cs="Arial" w:hint="eastAsia"/>
          <w:bCs/>
          <w:sz w:val="22"/>
          <w:szCs w:val="22"/>
          <w:lang w:eastAsia="zh-CN"/>
        </w:rPr>
        <w:t>August</w:t>
      </w:r>
      <w:r w:rsidRPr="008D61DA">
        <w:rPr>
          <w:rFonts w:ascii="Arial" w:eastAsia="SimSun" w:hAnsi="Arial" w:cs="Arial"/>
          <w:bCs/>
          <w:sz w:val="22"/>
          <w:szCs w:val="22"/>
          <w:lang w:eastAsia="zh-CN"/>
        </w:rPr>
        <w:t>, 202</w:t>
      </w:r>
      <w:bookmarkEnd w:id="2"/>
      <w:r w:rsidRPr="008D61DA">
        <w:rPr>
          <w:rFonts w:ascii="Arial" w:eastAsia="SimSun" w:hAnsi="Arial" w:cs="Arial"/>
          <w:bCs/>
          <w:sz w:val="22"/>
          <w:szCs w:val="22"/>
          <w:lang w:eastAsia="zh-CN"/>
        </w:rPr>
        <w:t>3</w:t>
      </w:r>
      <w:r w:rsidRPr="008D61DA">
        <w:rPr>
          <w:rFonts w:ascii="Arial" w:hAnsi="Arial" w:cs="Arial"/>
          <w:bCs/>
          <w:sz w:val="22"/>
          <w:szCs w:val="22"/>
        </w:rPr>
        <w:t xml:space="preserve"> </w:t>
      </w:r>
      <w:r w:rsidRPr="008D61DA">
        <w:rPr>
          <w:rFonts w:ascii="Arial" w:hAnsi="Arial"/>
          <w:bCs/>
          <w:sz w:val="22"/>
          <w:szCs w:val="22"/>
        </w:rPr>
        <w:t xml:space="preserve">                                          </w:t>
      </w:r>
    </w:p>
    <w:p w14:paraId="17AF1606" w14:textId="29FF3B70" w:rsidR="00696311" w:rsidRPr="007F5299" w:rsidRDefault="00696311" w:rsidP="006770B2">
      <w:pPr>
        <w:pStyle w:val="3GPPHeader"/>
        <w:tabs>
          <w:tab w:val="clear" w:pos="1701"/>
          <w:tab w:val="left" w:pos="1479"/>
        </w:tabs>
        <w:rPr>
          <w:rFonts w:ascii="Arial" w:hAnsi="Arial" w:cs="Arial"/>
          <w:sz w:val="22"/>
          <w:szCs w:val="22"/>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7.13.2</w:t>
      </w:r>
    </w:p>
    <w:p w14:paraId="32EC9FC0" w14:textId="77777777"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464C92" w:rsidRPr="007F5299">
        <w:rPr>
          <w:rFonts w:ascii="Arial" w:hAnsi="Arial" w:cs="Arial"/>
          <w:b w:val="0"/>
          <w:bCs/>
          <w:sz w:val="22"/>
          <w:szCs w:val="22"/>
        </w:rPr>
        <w:t>CMCC</w:t>
      </w:r>
      <w:r w:rsidRPr="007F5299">
        <w:rPr>
          <w:rFonts w:ascii="Arial" w:hAnsi="Arial" w:cs="Arial"/>
          <w:b w:val="0"/>
          <w:bCs/>
          <w:sz w:val="22"/>
          <w:szCs w:val="22"/>
        </w:rPr>
        <w:t xml:space="preserve"> (moderator)</w:t>
      </w:r>
    </w:p>
    <w:p w14:paraId="3AB94BBD" w14:textId="363502C4"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853CC0" w:rsidRPr="007F5299">
        <w:rPr>
          <w:rFonts w:ascii="Arial" w:hAnsi="Arial" w:cs="Arial"/>
          <w:b w:val="0"/>
          <w:bCs/>
          <w:sz w:val="22"/>
          <w:szCs w:val="22"/>
          <w:lang w:val="en-GB"/>
        </w:rPr>
        <w:t xml:space="preserve">Summary of </w:t>
      </w:r>
      <w:r w:rsidR="00B21F1D" w:rsidRPr="007F5299">
        <w:rPr>
          <w:rFonts w:ascii="Arial" w:hAnsi="Arial" w:cs="Arial"/>
          <w:b w:val="0"/>
          <w:bCs/>
          <w:sz w:val="22"/>
          <w:szCs w:val="22"/>
          <w:lang w:val="en-GB"/>
        </w:rPr>
        <w:t>[Post122][584][R18 SON/MDT] Open issues on fast MCG recovery</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82C88B2" w14:textId="77777777" w:rsidR="0063646E" w:rsidRPr="0063646E" w:rsidRDefault="0063646E" w:rsidP="0063646E">
      <w:pPr>
        <w:pStyle w:val="Doc-text2"/>
        <w:numPr>
          <w:ilvl w:val="0"/>
          <w:numId w:val="12"/>
        </w:numPr>
        <w:tabs>
          <w:tab w:val="clear" w:pos="1619"/>
          <w:tab w:val="left" w:pos="1622"/>
        </w:tabs>
        <w:ind w:leftChars="172" w:left="738"/>
        <w:rPr>
          <w:b/>
          <w:sz w:val="20"/>
          <w:szCs w:val="20"/>
        </w:rPr>
      </w:pPr>
      <w:r w:rsidRPr="0063646E">
        <w:rPr>
          <w:b/>
          <w:sz w:val="20"/>
          <w:szCs w:val="20"/>
        </w:rPr>
        <w:t>[Post122][584][R18 SON/MDT]  Open issues on fast MCG recovery (CMCC)</w:t>
      </w:r>
    </w:p>
    <w:p w14:paraId="3F850C06" w14:textId="0D8AB974" w:rsidR="0063646E" w:rsidRPr="0063646E" w:rsidRDefault="0063646E" w:rsidP="0063646E">
      <w:pPr>
        <w:pStyle w:val="Doc-text2"/>
        <w:ind w:leftChars="336" w:left="739" w:firstLine="0"/>
        <w:rPr>
          <w:sz w:val="20"/>
          <w:szCs w:val="20"/>
        </w:rPr>
      </w:pPr>
      <w:r w:rsidRPr="0063646E">
        <w:rPr>
          <w:sz w:val="20"/>
          <w:szCs w:val="20"/>
        </w:rPr>
        <w:t>Scope: Discussion should focus on the proposals raised and not concluded in R2-2305779.</w:t>
      </w:r>
    </w:p>
    <w:p w14:paraId="6E2B2994" w14:textId="77777777" w:rsidR="0063646E" w:rsidRPr="0063646E" w:rsidRDefault="0063646E" w:rsidP="0063646E">
      <w:pPr>
        <w:pStyle w:val="Doc-text2"/>
        <w:ind w:leftChars="336" w:left="739" w:firstLine="0"/>
        <w:rPr>
          <w:sz w:val="20"/>
          <w:szCs w:val="20"/>
        </w:rPr>
      </w:pPr>
      <w:r w:rsidRPr="0063646E">
        <w:rPr>
          <w:sz w:val="20"/>
          <w:szCs w:val="20"/>
        </w:rPr>
        <w:t>Intended outcome: Report</w:t>
      </w:r>
    </w:p>
    <w:p w14:paraId="28A6160D" w14:textId="08E70615" w:rsidR="000B7862" w:rsidRPr="000B7862" w:rsidRDefault="0063646E" w:rsidP="0063646E">
      <w:pPr>
        <w:suppressAutoHyphens/>
        <w:spacing w:after="0"/>
        <w:rPr>
          <w:rFonts w:eastAsiaTheme="minorEastAsia"/>
          <w:color w:val="000000"/>
          <w:sz w:val="20"/>
          <w:szCs w:val="28"/>
          <w:lang w:eastAsia="zh-CN"/>
        </w:rPr>
      </w:pPr>
      <w:r w:rsidRPr="00E2608F">
        <w:tab/>
        <w:t xml:space="preserve">Deadline: </w:t>
      </w:r>
      <w:r>
        <w:t>Long</w:t>
      </w:r>
    </w:p>
    <w:p w14:paraId="0F8C3865" w14:textId="78149A92"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 xml:space="preserve">Please provide your comments before </w:t>
      </w:r>
      <w:r w:rsidR="00DD7D7A" w:rsidRPr="00DD7D7A">
        <w:rPr>
          <w:rFonts w:eastAsia="Calibri"/>
          <w:color w:val="000000"/>
          <w:sz w:val="20"/>
          <w:szCs w:val="28"/>
          <w:highlight w:val="yellow"/>
          <w:lang w:eastAsia="zh-CN"/>
        </w:rPr>
        <w:t>Aug</w:t>
      </w:r>
      <w:r w:rsidRPr="00DD7D7A">
        <w:rPr>
          <w:rFonts w:eastAsia="Calibri"/>
          <w:color w:val="000000"/>
          <w:sz w:val="20"/>
          <w:szCs w:val="28"/>
          <w:highlight w:val="yellow"/>
          <w:lang w:eastAsia="zh-CN"/>
        </w:rPr>
        <w:t xml:space="preserve">. </w:t>
      </w:r>
      <w:r w:rsidR="000A463D">
        <w:rPr>
          <w:rFonts w:asciiTheme="minorEastAsia" w:eastAsiaTheme="minorEastAsia" w:hAnsiTheme="minorEastAsia" w:hint="eastAsia"/>
          <w:color w:val="000000"/>
          <w:sz w:val="20"/>
          <w:szCs w:val="28"/>
          <w:highlight w:val="yellow"/>
          <w:lang w:eastAsia="zh-CN"/>
        </w:rPr>
        <w:t>09</w:t>
      </w:r>
      <w:r w:rsidR="000A463D" w:rsidRPr="000A463D">
        <w:rPr>
          <w:rFonts w:asciiTheme="minorEastAsia" w:eastAsiaTheme="minorEastAsia" w:hAnsiTheme="minorEastAsia"/>
          <w:color w:val="000000"/>
          <w:sz w:val="20"/>
          <w:szCs w:val="28"/>
          <w:highlight w:val="yellow"/>
          <w:vertAlign w:val="superscript"/>
          <w:lang w:eastAsia="zh-CN"/>
        </w:rPr>
        <w:t>th</w:t>
      </w:r>
      <w:r w:rsidR="000A463D">
        <w:rPr>
          <w:rFonts w:asciiTheme="minorEastAsia" w:eastAsiaTheme="minorEastAsia" w:hAnsiTheme="minorEastAsia" w:hint="eastAsia"/>
          <w:color w:val="000000"/>
          <w:sz w:val="20"/>
          <w:szCs w:val="28"/>
          <w:highlight w:val="yellow"/>
          <w:lang w:eastAsia="zh-CN"/>
        </w:rPr>
        <w:t>,</w:t>
      </w:r>
      <w:r w:rsidR="000A463D">
        <w:rPr>
          <w:rFonts w:eastAsia="Calibri"/>
          <w:color w:val="000000"/>
          <w:sz w:val="20"/>
          <w:szCs w:val="28"/>
          <w:highlight w:val="yellow"/>
          <w:lang w:eastAsia="zh-CN"/>
        </w:rPr>
        <w:t xml:space="preserve"> </w:t>
      </w:r>
      <w:r w:rsidRPr="00DD7D7A">
        <w:rPr>
          <w:rFonts w:eastAsia="Calibri"/>
          <w:color w:val="000000"/>
          <w:sz w:val="20"/>
          <w:szCs w:val="28"/>
          <w:highlight w:val="yellow"/>
          <w:lang w:eastAsia="zh-CN"/>
        </w:rPr>
        <w:t>23:59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6865"/>
      </w:tblGrid>
      <w:tr w:rsidR="00DD7D7A" w14:paraId="7B80709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DD7D7A" w:rsidRDefault="00DD7D7A"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77777777" w:rsidR="00DD7D7A" w:rsidRDefault="00DD7D7A"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DD7D7A" w14:paraId="5930E52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096CF7DA" w14:textId="698FD4CB" w:rsidR="00DD7D7A" w:rsidRPr="00483658" w:rsidRDefault="00483658" w:rsidP="00483658">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46D1E51" w14:textId="3A56FF33"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302B1B">
              <w:rPr>
                <w:rFonts w:ascii="Times New Roman" w:hAnsi="Times New Roman"/>
                <w:lang w:val="en-US"/>
              </w:rPr>
              <w:t>Fang Xie, xiefang@chinamobile.com</w:t>
            </w:r>
          </w:p>
        </w:tc>
      </w:tr>
      <w:tr w:rsidR="00DD7D7A" w14:paraId="192EA100"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3D35624" w14:textId="2CE0C9E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0212B1">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1D9C8889" w14:textId="78F736DE" w:rsidR="00DD7D7A" w:rsidRDefault="000212B1" w:rsidP="00DD7D7A">
            <w:pPr>
              <w:pStyle w:val="TAC"/>
              <w:spacing w:before="20" w:after="20"/>
              <w:ind w:right="57"/>
              <w:jc w:val="left"/>
              <w:rPr>
                <w:rFonts w:ascii="Times New Roman" w:hAnsi="Times New Roman"/>
                <w:lang w:val="en-US"/>
              </w:rPr>
            </w:pPr>
            <w:r>
              <w:rPr>
                <w:rFonts w:ascii="Times New Roman" w:hAnsi="Times New Roman" w:hint="eastAsia"/>
                <w:lang w:val="en-US"/>
              </w:rPr>
              <w:t>Haocheng Wang, wanghaocheng@catt.cn</w:t>
            </w:r>
          </w:p>
        </w:tc>
      </w:tr>
      <w:tr w:rsidR="00DD7D7A" w14:paraId="619B3DBF"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CE33D71" w14:textId="576FF79F"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BC4F2B">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24B8D39F" w14:textId="3EE09EE6" w:rsidR="00DD7D7A" w:rsidRDefault="00BC4F2B" w:rsidP="00DD7D7A">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DD7D7A" w14:paraId="1D50A4C4"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1B9CB110" w14:textId="28D4B44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3721" w:type="pct"/>
            <w:tcBorders>
              <w:top w:val="single" w:sz="4" w:space="0" w:color="auto"/>
              <w:left w:val="single" w:sz="4" w:space="0" w:color="auto"/>
              <w:bottom w:val="single" w:sz="4" w:space="0" w:color="auto"/>
              <w:right w:val="single" w:sz="4" w:space="0" w:color="auto"/>
            </w:tcBorders>
            <w:noWrap/>
          </w:tcPr>
          <w:p w14:paraId="65418322" w14:textId="0A92A3EE" w:rsidR="00DD7D7A" w:rsidRDefault="00483658"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DD7D7A" w14:paraId="71047C2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39CDBEE2" w14:textId="0313E427"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3721" w:type="pct"/>
            <w:tcBorders>
              <w:top w:val="single" w:sz="4" w:space="0" w:color="auto"/>
              <w:left w:val="single" w:sz="4" w:space="0" w:color="auto"/>
              <w:bottom w:val="single" w:sz="4" w:space="0" w:color="auto"/>
              <w:right w:val="single" w:sz="4" w:space="0" w:color="auto"/>
            </w:tcBorders>
            <w:noWrap/>
          </w:tcPr>
          <w:p w14:paraId="2520A91D" w14:textId="36A794CA"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DD7D7A" w14:paraId="4CE079A7"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756A66" w14:textId="2D246B09"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3721" w:type="pct"/>
            <w:tcBorders>
              <w:top w:val="single" w:sz="4" w:space="0" w:color="auto"/>
              <w:left w:val="single" w:sz="4" w:space="0" w:color="auto"/>
              <w:bottom w:val="single" w:sz="4" w:space="0" w:color="auto"/>
              <w:right w:val="single" w:sz="4" w:space="0" w:color="auto"/>
            </w:tcBorders>
            <w:noWrap/>
          </w:tcPr>
          <w:p w14:paraId="247F90BD" w14:textId="5603CD1E"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Heading1"/>
        <w:rPr>
          <w:sz w:val="32"/>
          <w:szCs w:val="28"/>
        </w:rPr>
      </w:pPr>
      <w:r w:rsidRPr="00DF4ACF">
        <w:rPr>
          <w:sz w:val="32"/>
          <w:szCs w:val="28"/>
        </w:rPr>
        <w:t>Discussion</w:t>
      </w:r>
    </w:p>
    <w:p w14:paraId="610A0F45" w14:textId="40A0933F" w:rsidR="00C6585D" w:rsidRDefault="00C6585D" w:rsidP="00AF639C">
      <w:pPr>
        <w:spacing w:line="360" w:lineRule="auto"/>
        <w:jc w:val="both"/>
        <w:rPr>
          <w:sz w:val="20"/>
          <w:szCs w:val="21"/>
        </w:rPr>
      </w:pPr>
      <w:r>
        <w:rPr>
          <w:sz w:val="20"/>
          <w:szCs w:val="21"/>
        </w:rPr>
        <w:t xml:space="preserve">In RAN2#122 meeting, </w:t>
      </w:r>
      <w:r w:rsidR="002F7B14">
        <w:rPr>
          <w:sz w:val="20"/>
          <w:szCs w:val="21"/>
        </w:rPr>
        <w:t>companies agree</w:t>
      </w:r>
      <w:r w:rsidR="00AF639C">
        <w:rPr>
          <w:sz w:val="20"/>
          <w:szCs w:val="21"/>
        </w:rPr>
        <w:t>d</w:t>
      </w:r>
      <w:r w:rsidR="002F7B14">
        <w:rPr>
          <w:sz w:val="20"/>
          <w:szCs w:val="21"/>
        </w:rPr>
        <w:t xml:space="preserve"> to introduce the near failure case for fast MCG recovery and </w:t>
      </w:r>
      <w:r w:rsidR="00AF639C">
        <w:rPr>
          <w:sz w:val="20"/>
          <w:szCs w:val="21"/>
        </w:rPr>
        <w:t xml:space="preserve">initial </w:t>
      </w:r>
      <w:r>
        <w:rPr>
          <w:sz w:val="20"/>
          <w:szCs w:val="21"/>
        </w:rPr>
        <w:t>a</w:t>
      </w:r>
      <w:r w:rsidRPr="00C6585D">
        <w:rPr>
          <w:sz w:val="20"/>
          <w:szCs w:val="21"/>
        </w:rPr>
        <w:t xml:space="preserve">greements </w:t>
      </w:r>
      <w:r w:rsidR="00D567D1">
        <w:rPr>
          <w:sz w:val="20"/>
          <w:szCs w:val="21"/>
        </w:rPr>
        <w:t xml:space="preserve">on </w:t>
      </w:r>
      <w:r w:rsidR="00D567D1" w:rsidRPr="00D567D1">
        <w:rPr>
          <w:sz w:val="20"/>
          <w:szCs w:val="21"/>
        </w:rPr>
        <w:t>fast MCG recovery</w:t>
      </w:r>
      <w:r w:rsidR="00D567D1">
        <w:rPr>
          <w:sz w:val="20"/>
          <w:szCs w:val="21"/>
        </w:rPr>
        <w:t xml:space="preserve"> are concluded as follows:</w:t>
      </w:r>
    </w:p>
    <w:p w14:paraId="49C497F4"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Agreements:</w:t>
      </w:r>
    </w:p>
    <w:p w14:paraId="160635E6"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1</w:t>
      </w:r>
      <w:r w:rsidRPr="00D567D1">
        <w:rPr>
          <w:rFonts w:eastAsiaTheme="minorEastAsia"/>
          <w:sz w:val="20"/>
          <w:szCs w:val="20"/>
        </w:rPr>
        <w:tab/>
        <w:t>RAN2 confirms</w:t>
      </w:r>
      <w:r w:rsidRPr="00D567D1">
        <w:rPr>
          <w:rFonts w:eastAsiaTheme="minorEastAsia" w:hint="eastAsia"/>
          <w:sz w:val="20"/>
          <w:szCs w:val="20"/>
        </w:rPr>
        <w:t xml:space="preserve"> </w:t>
      </w:r>
      <w:r w:rsidRPr="00D567D1">
        <w:rPr>
          <w:rFonts w:eastAsiaTheme="minorEastAsia"/>
          <w:sz w:val="20"/>
          <w:szCs w:val="20"/>
        </w:rPr>
        <w:t>scenario</w:t>
      </w:r>
      <w:r w:rsidRPr="00D567D1">
        <w:rPr>
          <w:rFonts w:eastAsiaTheme="minorEastAsia" w:hint="eastAsia"/>
          <w:sz w:val="20"/>
          <w:szCs w:val="20"/>
        </w:rPr>
        <w:t xml:space="preserve"> </w:t>
      </w:r>
      <w:r w:rsidRPr="00D567D1">
        <w:rPr>
          <w:rFonts w:eastAsiaTheme="minorEastAsia"/>
          <w:sz w:val="20"/>
          <w:szCs w:val="20"/>
        </w:rPr>
        <w:t xml:space="preserve">of </w:t>
      </w:r>
      <w:r w:rsidRPr="00D567D1">
        <w:rPr>
          <w:rFonts w:eastAsiaTheme="minorEastAsia" w:hint="eastAsia"/>
          <w:sz w:val="20"/>
          <w:szCs w:val="20"/>
        </w:rPr>
        <w:t>near failure fast MCG recovery.</w:t>
      </w:r>
    </w:p>
    <w:p w14:paraId="074E6C42"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2</w:t>
      </w:r>
      <w:r w:rsidRPr="00D567D1">
        <w:rPr>
          <w:rFonts w:eastAsiaTheme="minorEastAsia"/>
          <w:sz w:val="20"/>
          <w:szCs w:val="20"/>
        </w:rPr>
        <w:tab/>
        <w:t>RAN2 confirms scenario f1, i.e., SCG fails or is deactivated before the UE sends the MCGFailureInformation. FFS RAN2 impact.</w:t>
      </w:r>
    </w:p>
    <w:p w14:paraId="669BE030" w14:textId="77777777" w:rsid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2DE656A7" w14:textId="77777777" w:rsidR="00D567D1" w:rsidRDefault="00D567D1" w:rsidP="00C6585D">
      <w:pPr>
        <w:rPr>
          <w:sz w:val="20"/>
          <w:szCs w:val="21"/>
        </w:rPr>
      </w:pPr>
    </w:p>
    <w:p w14:paraId="1FBF26DB" w14:textId="740B55FE" w:rsidR="00D567D1" w:rsidRDefault="00571209" w:rsidP="00A0087B">
      <w:pPr>
        <w:spacing w:line="360" w:lineRule="auto"/>
        <w:jc w:val="both"/>
        <w:rPr>
          <w:sz w:val="20"/>
          <w:szCs w:val="21"/>
        </w:rPr>
      </w:pPr>
      <w:r>
        <w:rPr>
          <w:sz w:val="20"/>
          <w:szCs w:val="21"/>
        </w:rPr>
        <w:t xml:space="preserve">In this email discussion, the </w:t>
      </w:r>
      <w:r w:rsidR="0032631C">
        <w:rPr>
          <w:sz w:val="20"/>
          <w:szCs w:val="21"/>
        </w:rPr>
        <w:t xml:space="preserve">open issues </w:t>
      </w:r>
      <w:r>
        <w:rPr>
          <w:sz w:val="20"/>
          <w:szCs w:val="21"/>
        </w:rPr>
        <w:t>on</w:t>
      </w:r>
      <w:r w:rsidR="00D567D1">
        <w:rPr>
          <w:sz w:val="20"/>
          <w:szCs w:val="21"/>
        </w:rPr>
        <w:t xml:space="preserve"> fast MCG recovery</w:t>
      </w:r>
      <w:r>
        <w:rPr>
          <w:sz w:val="20"/>
          <w:szCs w:val="21"/>
        </w:rPr>
        <w:t xml:space="preserve"> </w:t>
      </w:r>
      <w:r w:rsidR="001A64BB">
        <w:rPr>
          <w:sz w:val="20"/>
          <w:szCs w:val="21"/>
        </w:rPr>
        <w:t>are mainly</w:t>
      </w:r>
      <w:r>
        <w:rPr>
          <w:sz w:val="20"/>
          <w:szCs w:val="21"/>
        </w:rPr>
        <w:t xml:space="preserve"> based on the </w:t>
      </w:r>
      <w:r w:rsidR="001A64BB">
        <w:rPr>
          <w:sz w:val="20"/>
          <w:szCs w:val="21"/>
        </w:rPr>
        <w:t>proposal</w:t>
      </w:r>
      <w:r w:rsidR="0032631C">
        <w:rPr>
          <w:sz w:val="20"/>
          <w:szCs w:val="21"/>
        </w:rPr>
        <w:t xml:space="preserve">s provided in </w:t>
      </w:r>
      <w:r w:rsidRPr="00571209">
        <w:rPr>
          <w:sz w:val="20"/>
          <w:szCs w:val="21"/>
        </w:rPr>
        <w:t>R2-2305779</w:t>
      </w:r>
      <w:r w:rsidR="00D567D1">
        <w:rPr>
          <w:sz w:val="20"/>
          <w:szCs w:val="21"/>
        </w:rPr>
        <w:t xml:space="preserve">, </w:t>
      </w:r>
      <w:r w:rsidR="0032631C">
        <w:rPr>
          <w:sz w:val="20"/>
          <w:szCs w:val="21"/>
        </w:rPr>
        <w:t xml:space="preserve">including </w:t>
      </w:r>
      <w:r w:rsidR="00D567D1" w:rsidRPr="00D567D1">
        <w:rPr>
          <w:sz w:val="20"/>
          <w:szCs w:val="21"/>
        </w:rPr>
        <w:t xml:space="preserve">the </w:t>
      </w:r>
      <w:r w:rsidR="004A0060" w:rsidRPr="004A0060">
        <w:rPr>
          <w:sz w:val="20"/>
          <w:szCs w:val="21"/>
        </w:rPr>
        <w:t xml:space="preserve">information for the optimization of </w:t>
      </w:r>
      <w:r w:rsidR="004A0060">
        <w:rPr>
          <w:sz w:val="20"/>
          <w:szCs w:val="21"/>
        </w:rPr>
        <w:t>n</w:t>
      </w:r>
      <w:r w:rsidR="004A0060" w:rsidRPr="004A0060">
        <w:rPr>
          <w:sz w:val="20"/>
          <w:szCs w:val="21"/>
        </w:rPr>
        <w:t>ear failure of fast MCG recovery</w:t>
      </w:r>
      <w:r w:rsidR="004A0060">
        <w:rPr>
          <w:sz w:val="20"/>
          <w:szCs w:val="21"/>
        </w:rPr>
        <w:t xml:space="preserve"> reported by UE, </w:t>
      </w:r>
      <w:r w:rsidR="004A0060" w:rsidRPr="004A0060">
        <w:rPr>
          <w:sz w:val="20"/>
          <w:szCs w:val="21"/>
        </w:rPr>
        <w:t>T316 related triggering threshold</w:t>
      </w:r>
      <w:r w:rsidR="00B54CC4">
        <w:rPr>
          <w:sz w:val="20"/>
          <w:szCs w:val="21"/>
        </w:rPr>
        <w:t xml:space="preserve"> and</w:t>
      </w:r>
      <w:bookmarkStart w:id="3" w:name="_Hlk138069139"/>
      <w:r w:rsidR="00B54CC4">
        <w:rPr>
          <w:sz w:val="20"/>
          <w:szCs w:val="21"/>
        </w:rPr>
        <w:t xml:space="preserve"> </w:t>
      </w:r>
      <w:r w:rsidR="00DA4EEB" w:rsidRPr="00DA4EEB">
        <w:rPr>
          <w:sz w:val="20"/>
          <w:szCs w:val="21"/>
        </w:rPr>
        <w:t>time information</w:t>
      </w:r>
      <w:r w:rsidR="002F7B14">
        <w:rPr>
          <w:sz w:val="20"/>
          <w:szCs w:val="21"/>
        </w:rPr>
        <w:t xml:space="preserve"> reported by UE</w:t>
      </w:r>
      <w:r w:rsidR="00DA4EEB" w:rsidRPr="00DA4EEB">
        <w:rPr>
          <w:sz w:val="20"/>
          <w:szCs w:val="21"/>
        </w:rPr>
        <w:t xml:space="preserve"> for fast MCG link recovery optimization</w:t>
      </w:r>
      <w:bookmarkEnd w:id="3"/>
      <w:r w:rsidR="00B54CC4">
        <w:rPr>
          <w:sz w:val="20"/>
          <w:szCs w:val="21"/>
        </w:rPr>
        <w:t>.</w:t>
      </w:r>
      <w:r w:rsidR="001A64BB">
        <w:rPr>
          <w:sz w:val="20"/>
          <w:szCs w:val="21"/>
        </w:rPr>
        <w:t xml:space="preserve"> </w:t>
      </w:r>
    </w:p>
    <w:p w14:paraId="24BE9FFE" w14:textId="77777777" w:rsidR="0050681A" w:rsidRDefault="0050681A" w:rsidP="00A0087B">
      <w:pPr>
        <w:spacing w:line="360" w:lineRule="auto"/>
        <w:jc w:val="both"/>
        <w:rPr>
          <w:sz w:val="20"/>
          <w:szCs w:val="21"/>
        </w:rPr>
      </w:pPr>
    </w:p>
    <w:p w14:paraId="40C769CE" w14:textId="77777777" w:rsidR="0050681A" w:rsidRDefault="0050681A" w:rsidP="00A0087B">
      <w:pPr>
        <w:spacing w:line="360" w:lineRule="auto"/>
        <w:jc w:val="both"/>
        <w:rPr>
          <w:sz w:val="20"/>
          <w:szCs w:val="21"/>
        </w:rPr>
      </w:pPr>
    </w:p>
    <w:p w14:paraId="129030A0" w14:textId="77777777" w:rsidR="0050681A" w:rsidRDefault="0050681A" w:rsidP="00A0087B">
      <w:pPr>
        <w:spacing w:line="360" w:lineRule="auto"/>
        <w:jc w:val="both"/>
        <w:rPr>
          <w:sz w:val="20"/>
          <w:szCs w:val="21"/>
        </w:rPr>
      </w:pPr>
    </w:p>
    <w:p w14:paraId="6499A97A" w14:textId="46BCF907" w:rsidR="00A56D96" w:rsidRPr="001658D6" w:rsidRDefault="002F7B14" w:rsidP="00422A62">
      <w:pPr>
        <w:pStyle w:val="Heading2"/>
        <w:ind w:left="578" w:hanging="578"/>
        <w:rPr>
          <w:rFonts w:eastAsia="DengXian"/>
          <w:lang w:eastAsia="zh-CN"/>
        </w:rPr>
      </w:pPr>
      <w:bookmarkStart w:id="4" w:name="_Hlk48562017"/>
      <w:r>
        <w:rPr>
          <w:rFonts w:eastAsia="DengXian"/>
          <w:lang w:eastAsia="zh-CN"/>
        </w:rPr>
        <w:lastRenderedPageBreak/>
        <w:t>I</w:t>
      </w:r>
      <w:r w:rsidRPr="002F7B14">
        <w:rPr>
          <w:rFonts w:eastAsia="DengXian"/>
          <w:lang w:eastAsia="zh-CN"/>
        </w:rPr>
        <w:t xml:space="preserve">nformation </w:t>
      </w:r>
      <w:r w:rsidR="00B71528">
        <w:rPr>
          <w:rFonts w:eastAsia="DengXian"/>
          <w:lang w:eastAsia="zh-CN"/>
        </w:rPr>
        <w:t xml:space="preserve">reported by UE </w:t>
      </w:r>
      <w:r w:rsidRPr="002F7B14">
        <w:rPr>
          <w:rFonts w:eastAsia="DengXian"/>
          <w:lang w:eastAsia="zh-CN"/>
        </w:rPr>
        <w:t>for the optimization of near failure of fast MCG recovery</w:t>
      </w:r>
    </w:p>
    <w:p w14:paraId="5FCF564B" w14:textId="2A136B7C" w:rsidR="00C05CA8" w:rsidRPr="0069404A" w:rsidRDefault="00CA7FAF" w:rsidP="00A0087B">
      <w:pPr>
        <w:spacing w:line="360" w:lineRule="auto"/>
        <w:jc w:val="both"/>
        <w:rPr>
          <w:rFonts w:eastAsia="DengXian"/>
          <w:sz w:val="20"/>
          <w:szCs w:val="20"/>
          <w:lang w:eastAsia="zh-CN"/>
        </w:rPr>
      </w:pPr>
      <w:bookmarkStart w:id="5" w:name="_Hlk62425314"/>
      <w:bookmarkEnd w:id="4"/>
      <w:r>
        <w:rPr>
          <w:rFonts w:eastAsia="DengXian"/>
          <w:sz w:val="20"/>
          <w:szCs w:val="20"/>
          <w:lang w:eastAsia="zh-CN"/>
        </w:rPr>
        <w:t>F</w:t>
      </w:r>
      <w:r w:rsidR="00CF75EF" w:rsidRPr="0069404A">
        <w:rPr>
          <w:rFonts w:eastAsia="DengXian"/>
          <w:sz w:val="20"/>
          <w:szCs w:val="20"/>
          <w:lang w:eastAsia="zh-CN"/>
        </w:rPr>
        <w:t xml:space="preserve">ollowing </w:t>
      </w:r>
      <w:r>
        <w:rPr>
          <w:rFonts w:eastAsia="DengXian"/>
          <w:sz w:val="20"/>
          <w:szCs w:val="20"/>
          <w:lang w:eastAsia="zh-CN"/>
        </w:rPr>
        <w:t>options</w:t>
      </w:r>
      <w:r w:rsidRPr="00CA7FAF">
        <w:rPr>
          <w:rFonts w:eastAsia="DengXian"/>
          <w:sz w:val="20"/>
          <w:szCs w:val="20"/>
          <w:lang w:eastAsia="zh-CN"/>
        </w:rPr>
        <w:t xml:space="preserve"> </w:t>
      </w:r>
      <w:r w:rsidRPr="0069404A">
        <w:rPr>
          <w:rFonts w:eastAsia="DengXian"/>
          <w:sz w:val="20"/>
          <w:szCs w:val="20"/>
          <w:lang w:eastAsia="zh-CN"/>
        </w:rPr>
        <w:t>are proposed in R2-2305779</w:t>
      </w:r>
      <w:r>
        <w:rPr>
          <w:rFonts w:eastAsia="DengXian"/>
          <w:sz w:val="20"/>
          <w:szCs w:val="20"/>
          <w:lang w:eastAsia="zh-CN"/>
        </w:rPr>
        <w:t xml:space="preserve"> for</w:t>
      </w:r>
      <w:r w:rsidR="00CF75EF" w:rsidRPr="0069404A">
        <w:rPr>
          <w:rFonts w:eastAsia="DengXian"/>
          <w:sz w:val="20"/>
          <w:szCs w:val="20"/>
          <w:lang w:eastAsia="zh-CN"/>
        </w:rPr>
        <w:t xml:space="preserve"> UE </w:t>
      </w:r>
      <w:r>
        <w:rPr>
          <w:rFonts w:eastAsia="DengXian"/>
          <w:sz w:val="20"/>
          <w:szCs w:val="20"/>
          <w:lang w:eastAsia="zh-CN"/>
        </w:rPr>
        <w:t xml:space="preserve">to report </w:t>
      </w:r>
      <w:r w:rsidR="00CF75EF" w:rsidRPr="0069404A">
        <w:rPr>
          <w:rFonts w:eastAsia="DengXian"/>
          <w:sz w:val="20"/>
          <w:szCs w:val="20"/>
          <w:lang w:eastAsia="zh-CN"/>
        </w:rPr>
        <w:t>for the optimization of near failure of fast MCG recovery</w:t>
      </w:r>
      <w:r w:rsidR="00AF639C">
        <w:rPr>
          <w:rFonts w:eastAsia="DengXian"/>
          <w:sz w:val="20"/>
          <w:szCs w:val="20"/>
          <w:lang w:eastAsia="zh-CN"/>
        </w:rPr>
        <w:t>:</w:t>
      </w:r>
    </w:p>
    <w:p w14:paraId="3DF17009" w14:textId="12B279B9" w:rsidR="00CF75EF" w:rsidRDefault="00CA7FAF" w:rsidP="00CA7FAF">
      <w:pPr>
        <w:spacing w:line="360" w:lineRule="auto"/>
        <w:rPr>
          <w:rFonts w:eastAsia="DengXian"/>
          <w:lang w:eastAsia="zh-CN"/>
        </w:rPr>
      </w:pPr>
      <w:r>
        <w:rPr>
          <w:rFonts w:eastAsia="DengXian"/>
          <w:lang w:eastAsia="zh-CN"/>
        </w:rPr>
        <w:t xml:space="preserve">Option 1: </w:t>
      </w:r>
      <w:r w:rsidR="00CF75EF" w:rsidRPr="00CA7FAF">
        <w:rPr>
          <w:rFonts w:eastAsia="DengXian"/>
          <w:lang w:eastAsia="zh-CN"/>
        </w:rPr>
        <w:t>Elapsed T316 between the transmission of MCGFailureInformation and receiving RRC reconfiguration or RRC release message;</w:t>
      </w:r>
      <w:r w:rsidR="00AF639C" w:rsidRPr="00CA7FAF">
        <w:rPr>
          <w:rFonts w:eastAsia="DengXian"/>
          <w:lang w:eastAsia="zh-CN"/>
        </w:rPr>
        <w:t xml:space="preserve"> </w:t>
      </w:r>
    </w:p>
    <w:p w14:paraId="6F87C4D5" w14:textId="597ED7E4" w:rsidR="00CF75EF" w:rsidRDefault="00CA7FAF" w:rsidP="00CA7FAF">
      <w:pPr>
        <w:spacing w:line="360" w:lineRule="auto"/>
        <w:rPr>
          <w:rFonts w:eastAsia="DengXian"/>
          <w:lang w:eastAsia="zh-CN"/>
        </w:rPr>
      </w:pPr>
      <w:r>
        <w:rPr>
          <w:rFonts w:eastAsia="DengXian"/>
          <w:lang w:eastAsia="zh-CN"/>
        </w:rPr>
        <w:t xml:space="preserve">Option 2: </w:t>
      </w:r>
      <w:r w:rsidR="00CF75EF" w:rsidRPr="00CF75EF">
        <w:rPr>
          <w:rFonts w:eastAsia="DengXian"/>
          <w:lang w:eastAsia="zh-CN"/>
        </w:rPr>
        <w:t>The ratio between the elapsed T316 and the configured value of T316</w:t>
      </w:r>
      <w:r w:rsidR="00CF75EF">
        <w:rPr>
          <w:rFonts w:eastAsia="DengXian"/>
          <w:lang w:eastAsia="zh-CN"/>
        </w:rPr>
        <w:t>;</w:t>
      </w:r>
    </w:p>
    <w:bookmarkEnd w:id="5"/>
    <w:p w14:paraId="302E5B9B" w14:textId="674BE99F"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Companies are invited to provide the views on which information should be reported by UE for the optimization of near failure of fast MCG recovery</w:t>
      </w:r>
      <w:r w:rsidR="00DB2B30">
        <w:rPr>
          <w:rFonts w:eastAsiaTheme="minorEastAsia"/>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6D2AB1" w14:paraId="419F56AC" w14:textId="77777777" w:rsidTr="001658D6">
        <w:trPr>
          <w:trHeight w:val="260"/>
        </w:trPr>
        <w:tc>
          <w:tcPr>
            <w:tcW w:w="1832" w:type="dxa"/>
          </w:tcPr>
          <w:p w14:paraId="7D7D1369" w14:textId="77777777" w:rsidR="006D2AB1" w:rsidRPr="00E3062C" w:rsidRDefault="006D2AB1" w:rsidP="00E3062C">
            <w:pPr>
              <w:jc w:val="center"/>
              <w:rPr>
                <w:b/>
                <w:bCs/>
                <w:sz w:val="20"/>
                <w:szCs w:val="21"/>
              </w:rPr>
            </w:pPr>
            <w:r w:rsidRPr="00E3062C">
              <w:rPr>
                <w:b/>
                <w:bCs/>
                <w:sz w:val="20"/>
                <w:szCs w:val="21"/>
              </w:rPr>
              <w:t>Company</w:t>
            </w:r>
          </w:p>
        </w:tc>
        <w:tc>
          <w:tcPr>
            <w:tcW w:w="7575" w:type="dxa"/>
          </w:tcPr>
          <w:p w14:paraId="425E95A3" w14:textId="7EAC2983" w:rsidR="006D2AB1" w:rsidRPr="00E3062C" w:rsidRDefault="006D2AB1" w:rsidP="00E3062C">
            <w:pPr>
              <w:jc w:val="center"/>
              <w:rPr>
                <w:b/>
                <w:bCs/>
                <w:sz w:val="20"/>
                <w:szCs w:val="21"/>
              </w:rPr>
            </w:pPr>
            <w:r w:rsidRPr="00E3062C">
              <w:rPr>
                <w:b/>
                <w:bCs/>
                <w:sz w:val="20"/>
                <w:szCs w:val="21"/>
              </w:rPr>
              <w:t>Comment</w:t>
            </w:r>
            <w:r w:rsidR="00E3062C" w:rsidRPr="00E3062C">
              <w:rPr>
                <w:b/>
                <w:bCs/>
                <w:sz w:val="20"/>
                <w:szCs w:val="21"/>
              </w:rPr>
              <w:t>s</w:t>
            </w:r>
          </w:p>
        </w:tc>
      </w:tr>
      <w:tr w:rsidR="006D2AB1" w14:paraId="15F684D6" w14:textId="77777777" w:rsidTr="001658D6">
        <w:trPr>
          <w:trHeight w:val="417"/>
        </w:trPr>
        <w:tc>
          <w:tcPr>
            <w:tcW w:w="1832" w:type="dxa"/>
          </w:tcPr>
          <w:p w14:paraId="18CCD0C4" w14:textId="123CBFF2" w:rsidR="006D2AB1" w:rsidRPr="00E3062C" w:rsidRDefault="00844166" w:rsidP="001658D6">
            <w:pPr>
              <w:rPr>
                <w:rFonts w:eastAsia="SimSun"/>
                <w:sz w:val="20"/>
                <w:szCs w:val="21"/>
                <w:lang w:eastAsia="zh-CN"/>
              </w:rPr>
            </w:pPr>
            <w:r>
              <w:rPr>
                <w:rFonts w:eastAsia="SimSun" w:hint="eastAsia"/>
                <w:sz w:val="20"/>
                <w:szCs w:val="21"/>
                <w:lang w:eastAsia="zh-CN"/>
              </w:rPr>
              <w:t>C</w:t>
            </w:r>
            <w:r>
              <w:rPr>
                <w:rFonts w:eastAsia="SimSun"/>
                <w:sz w:val="20"/>
                <w:szCs w:val="21"/>
                <w:lang w:eastAsia="zh-CN"/>
              </w:rPr>
              <w:t>MCC</w:t>
            </w:r>
          </w:p>
        </w:tc>
        <w:tc>
          <w:tcPr>
            <w:tcW w:w="7575" w:type="dxa"/>
          </w:tcPr>
          <w:p w14:paraId="58FAE066" w14:textId="77777777" w:rsidR="00CA7FAF" w:rsidRDefault="00844166" w:rsidP="001658D6">
            <w:pPr>
              <w:rPr>
                <w:rFonts w:eastAsia="SimSun"/>
                <w:sz w:val="20"/>
                <w:szCs w:val="21"/>
                <w:lang w:eastAsia="zh-CN"/>
              </w:rPr>
            </w:pPr>
            <w:r>
              <w:rPr>
                <w:rFonts w:eastAsia="SimSun" w:hint="eastAsia"/>
                <w:sz w:val="20"/>
                <w:szCs w:val="21"/>
                <w:lang w:eastAsia="zh-CN"/>
              </w:rPr>
              <w:t>From</w:t>
            </w:r>
            <w:r>
              <w:rPr>
                <w:rFonts w:eastAsia="SimSun"/>
                <w:sz w:val="20"/>
                <w:szCs w:val="21"/>
                <w:lang w:eastAsia="zh-CN"/>
              </w:rPr>
              <w:t xml:space="preserve"> our view, </w:t>
            </w:r>
            <w:r w:rsidR="00AF639C">
              <w:rPr>
                <w:rFonts w:eastAsia="SimSun"/>
                <w:sz w:val="20"/>
                <w:szCs w:val="21"/>
                <w:lang w:eastAsia="zh-CN"/>
              </w:rPr>
              <w:t>b</w:t>
            </w:r>
            <w:r w:rsidR="00D7560D">
              <w:rPr>
                <w:rFonts w:eastAsia="SimSun"/>
                <w:sz w:val="20"/>
                <w:szCs w:val="21"/>
                <w:lang w:eastAsia="zh-CN"/>
              </w:rPr>
              <w:t xml:space="preserve">oth </w:t>
            </w:r>
            <w:r w:rsidR="00AF639C">
              <w:rPr>
                <w:rFonts w:eastAsia="SimSun"/>
                <w:sz w:val="20"/>
                <w:szCs w:val="21"/>
                <w:lang w:eastAsia="zh-CN"/>
              </w:rPr>
              <w:t>options</w:t>
            </w:r>
            <w:r w:rsidR="00D7560D">
              <w:rPr>
                <w:rFonts w:eastAsia="SimSun"/>
                <w:sz w:val="20"/>
                <w:szCs w:val="21"/>
                <w:lang w:eastAsia="zh-CN"/>
              </w:rPr>
              <w:t xml:space="preserve"> can help</w:t>
            </w:r>
            <w:r w:rsidR="00D7560D" w:rsidRPr="00D7560D">
              <w:rPr>
                <w:rFonts w:eastAsia="SimSun"/>
                <w:sz w:val="20"/>
                <w:szCs w:val="21"/>
                <w:lang w:eastAsia="zh-CN"/>
              </w:rPr>
              <w:t xml:space="preserve"> network </w:t>
            </w:r>
            <w:r w:rsidR="00AF639C">
              <w:rPr>
                <w:rFonts w:eastAsia="SimSun"/>
                <w:sz w:val="20"/>
                <w:szCs w:val="21"/>
                <w:lang w:eastAsia="zh-CN"/>
              </w:rPr>
              <w:t xml:space="preserve">to </w:t>
            </w:r>
            <w:r w:rsidR="00D7560D" w:rsidRPr="00D7560D">
              <w:rPr>
                <w:rFonts w:eastAsia="SimSun"/>
                <w:sz w:val="20"/>
                <w:szCs w:val="21"/>
                <w:lang w:eastAsia="zh-CN"/>
              </w:rPr>
              <w:t xml:space="preserve">detect potential underlying issues and optimize </w:t>
            </w:r>
            <w:r w:rsidR="00F45CDF">
              <w:rPr>
                <w:rFonts w:eastAsia="SimSun"/>
                <w:sz w:val="20"/>
                <w:szCs w:val="21"/>
                <w:lang w:eastAsia="zh-CN"/>
              </w:rPr>
              <w:t xml:space="preserve">the configuration of </w:t>
            </w:r>
            <w:r w:rsidR="00D7560D" w:rsidRPr="00D7560D">
              <w:rPr>
                <w:rFonts w:eastAsia="SimSun"/>
                <w:sz w:val="20"/>
                <w:szCs w:val="21"/>
                <w:lang w:eastAsia="zh-CN"/>
              </w:rPr>
              <w:t>T316</w:t>
            </w:r>
            <w:r w:rsidR="00D7560D">
              <w:rPr>
                <w:rFonts w:eastAsia="SimSun"/>
                <w:sz w:val="20"/>
                <w:szCs w:val="21"/>
                <w:lang w:eastAsia="zh-CN"/>
              </w:rPr>
              <w:t>.</w:t>
            </w:r>
            <w:r w:rsidR="00AF639C">
              <w:rPr>
                <w:rFonts w:eastAsia="SimSun"/>
                <w:sz w:val="20"/>
                <w:szCs w:val="21"/>
                <w:lang w:eastAsia="zh-CN"/>
              </w:rPr>
              <w:t xml:space="preserve"> </w:t>
            </w:r>
          </w:p>
          <w:p w14:paraId="04719F3C" w14:textId="2B7F7E1A" w:rsidR="006D2AB1" w:rsidRPr="00E3062C" w:rsidRDefault="00AF639C" w:rsidP="001658D6">
            <w:pPr>
              <w:rPr>
                <w:rFonts w:eastAsia="SimSun"/>
                <w:sz w:val="20"/>
                <w:szCs w:val="21"/>
                <w:lang w:eastAsia="zh-CN"/>
              </w:rPr>
            </w:pPr>
            <w:r>
              <w:rPr>
                <w:rFonts w:eastAsia="SimSun"/>
                <w:sz w:val="20"/>
                <w:szCs w:val="21"/>
                <w:lang w:eastAsia="zh-CN"/>
              </w:rPr>
              <w:t xml:space="preserve">Option 1 is preferred, since for option 2 the network needs to remember the configured T316. </w:t>
            </w:r>
          </w:p>
        </w:tc>
      </w:tr>
      <w:tr w:rsidR="006D2AB1" w14:paraId="45676DC7" w14:textId="77777777" w:rsidTr="001658D6">
        <w:trPr>
          <w:trHeight w:val="417"/>
        </w:trPr>
        <w:tc>
          <w:tcPr>
            <w:tcW w:w="1832" w:type="dxa"/>
          </w:tcPr>
          <w:p w14:paraId="2D52B686" w14:textId="20457822" w:rsidR="006D2AB1" w:rsidRPr="002C1C59" w:rsidRDefault="002C1C59" w:rsidP="001658D6">
            <w:pPr>
              <w:rPr>
                <w:rFonts w:eastAsiaTheme="minorEastAsia"/>
                <w:sz w:val="20"/>
                <w:szCs w:val="21"/>
                <w:lang w:eastAsia="zh-CN"/>
              </w:rPr>
            </w:pPr>
            <w:r>
              <w:rPr>
                <w:rFonts w:eastAsiaTheme="minorEastAsia" w:hint="eastAsia"/>
                <w:sz w:val="20"/>
                <w:szCs w:val="21"/>
                <w:lang w:eastAsia="zh-CN"/>
              </w:rPr>
              <w:t>CATT</w:t>
            </w:r>
          </w:p>
        </w:tc>
        <w:tc>
          <w:tcPr>
            <w:tcW w:w="7575" w:type="dxa"/>
          </w:tcPr>
          <w:p w14:paraId="5930EFAC" w14:textId="18D56FFB" w:rsidR="006D2AB1" w:rsidRPr="002C1C59" w:rsidRDefault="002C1C59" w:rsidP="001658D6">
            <w:pPr>
              <w:rPr>
                <w:rFonts w:eastAsiaTheme="minorEastAsia"/>
                <w:sz w:val="20"/>
                <w:szCs w:val="21"/>
                <w:lang w:eastAsia="zh-CN"/>
              </w:rPr>
            </w:pPr>
            <w:r>
              <w:rPr>
                <w:rFonts w:eastAsiaTheme="minorEastAsia" w:hint="eastAsia"/>
                <w:sz w:val="20"/>
                <w:szCs w:val="21"/>
                <w:lang w:eastAsia="zh-CN"/>
              </w:rPr>
              <w:t>Either is OK to us.</w:t>
            </w:r>
          </w:p>
        </w:tc>
      </w:tr>
      <w:tr w:rsidR="00BC4F2B" w14:paraId="00A52539" w14:textId="77777777" w:rsidTr="001658D6">
        <w:trPr>
          <w:trHeight w:val="417"/>
        </w:trPr>
        <w:tc>
          <w:tcPr>
            <w:tcW w:w="1832" w:type="dxa"/>
          </w:tcPr>
          <w:p w14:paraId="2BEB5265" w14:textId="7A15C166" w:rsidR="00BC4F2B" w:rsidRPr="00E3062C" w:rsidRDefault="00BC4F2B" w:rsidP="00BC4F2B">
            <w:pPr>
              <w:rPr>
                <w:sz w:val="20"/>
                <w:szCs w:val="21"/>
              </w:rPr>
            </w:pPr>
            <w:r>
              <w:rPr>
                <w:sz w:val="20"/>
                <w:szCs w:val="21"/>
              </w:rPr>
              <w:t>Samsung</w:t>
            </w:r>
          </w:p>
        </w:tc>
        <w:tc>
          <w:tcPr>
            <w:tcW w:w="7575" w:type="dxa"/>
          </w:tcPr>
          <w:p w14:paraId="7DC4C421" w14:textId="2FA953C0" w:rsidR="00BC4F2B" w:rsidRPr="00E3062C" w:rsidRDefault="00BC4F2B" w:rsidP="00BC4F2B">
            <w:pPr>
              <w:rPr>
                <w:sz w:val="20"/>
                <w:szCs w:val="21"/>
              </w:rPr>
            </w:pPr>
            <w:r>
              <w:rPr>
                <w:sz w:val="20"/>
                <w:szCs w:val="21"/>
              </w:rPr>
              <w:t>Option 1 seems to be simpler.</w:t>
            </w:r>
          </w:p>
        </w:tc>
      </w:tr>
      <w:tr w:rsidR="00BC4F2B" w:rsidRPr="004D0D73" w14:paraId="574D0F2A" w14:textId="77777777" w:rsidTr="008C0E5D">
        <w:trPr>
          <w:trHeight w:val="60"/>
        </w:trPr>
        <w:tc>
          <w:tcPr>
            <w:tcW w:w="1832" w:type="dxa"/>
          </w:tcPr>
          <w:p w14:paraId="5A91994D" w14:textId="77777777" w:rsidR="00BC4F2B" w:rsidRPr="00E3062C" w:rsidRDefault="00BC4F2B" w:rsidP="00BC4F2B">
            <w:pPr>
              <w:rPr>
                <w:rFonts w:eastAsia="SimSun"/>
                <w:sz w:val="20"/>
                <w:szCs w:val="21"/>
                <w:lang w:eastAsia="zh-CN"/>
              </w:rPr>
            </w:pPr>
          </w:p>
        </w:tc>
        <w:tc>
          <w:tcPr>
            <w:tcW w:w="7575" w:type="dxa"/>
          </w:tcPr>
          <w:p w14:paraId="1EB31583" w14:textId="77777777" w:rsidR="00BC4F2B" w:rsidRPr="00AF639C" w:rsidRDefault="00BC4F2B" w:rsidP="00BC4F2B">
            <w:pPr>
              <w:rPr>
                <w:rFonts w:eastAsia="SimSun"/>
                <w:sz w:val="20"/>
                <w:szCs w:val="21"/>
                <w:lang w:eastAsia="zh-CN"/>
              </w:rPr>
            </w:pPr>
          </w:p>
        </w:tc>
      </w:tr>
    </w:tbl>
    <w:p w14:paraId="71C36141" w14:textId="77777777" w:rsidR="00E3062C" w:rsidRDefault="00E3062C" w:rsidP="00E3062C">
      <w:pPr>
        <w:rPr>
          <w:lang w:eastAsia="zh-CN"/>
        </w:rPr>
      </w:pPr>
    </w:p>
    <w:p w14:paraId="424BB086" w14:textId="2620A75E" w:rsidR="00BF74D0" w:rsidRPr="00571209" w:rsidRDefault="0069404A" w:rsidP="00422A62">
      <w:pPr>
        <w:pStyle w:val="Heading2"/>
        <w:ind w:left="578" w:hanging="578"/>
        <w:rPr>
          <w:rFonts w:eastAsia="DengXian"/>
          <w:szCs w:val="32"/>
          <w:lang w:eastAsia="zh-CN"/>
        </w:rPr>
      </w:pPr>
      <w:r w:rsidRPr="00571209">
        <w:rPr>
          <w:rFonts w:eastAsia="DengXian"/>
          <w:szCs w:val="32"/>
          <w:lang w:eastAsia="zh-CN"/>
        </w:rPr>
        <w:t>T316 related triggering threshold</w:t>
      </w:r>
      <w:r w:rsidR="0050681A">
        <w:rPr>
          <w:rFonts w:eastAsia="DengXian"/>
          <w:szCs w:val="32"/>
          <w:lang w:eastAsia="zh-CN"/>
        </w:rPr>
        <w:t xml:space="preserve"> </w:t>
      </w:r>
    </w:p>
    <w:p w14:paraId="1B87BDB1" w14:textId="7299DCFD" w:rsidR="00B41CB5" w:rsidRPr="00F62D40" w:rsidRDefault="009A6562" w:rsidP="00A0087B">
      <w:pPr>
        <w:spacing w:line="360" w:lineRule="auto"/>
        <w:jc w:val="both"/>
        <w:rPr>
          <w:rFonts w:eastAsiaTheme="minorEastAsia"/>
          <w:color w:val="000000"/>
          <w:sz w:val="20"/>
          <w:szCs w:val="21"/>
          <w:lang w:eastAsia="zh-CN"/>
        </w:rPr>
      </w:pPr>
      <w:r>
        <w:rPr>
          <w:rFonts w:eastAsiaTheme="minorEastAsia"/>
          <w:sz w:val="20"/>
          <w:szCs w:val="20"/>
          <w:lang w:eastAsia="zh-CN"/>
        </w:rPr>
        <w:t xml:space="preserve">In </w:t>
      </w:r>
      <w:r w:rsidR="00571209" w:rsidRPr="00571209">
        <w:rPr>
          <w:rFonts w:eastAsiaTheme="minorEastAsia"/>
          <w:sz w:val="20"/>
          <w:szCs w:val="20"/>
          <w:lang w:eastAsia="zh-CN"/>
        </w:rPr>
        <w:t>R2-2305779</w:t>
      </w:r>
      <w:r>
        <w:rPr>
          <w:rFonts w:eastAsiaTheme="minorEastAsia"/>
          <w:sz w:val="20"/>
          <w:szCs w:val="20"/>
          <w:lang w:eastAsia="zh-CN"/>
        </w:rPr>
        <w:t>, it is</w:t>
      </w:r>
      <w:r w:rsidR="00B16594" w:rsidRPr="00571209">
        <w:rPr>
          <w:rFonts w:eastAsiaTheme="minorEastAsia" w:hint="eastAsia"/>
          <w:sz w:val="20"/>
          <w:szCs w:val="20"/>
          <w:lang w:eastAsia="zh-CN"/>
        </w:rPr>
        <w:t xml:space="preserve"> proposed </w:t>
      </w:r>
      <w:r w:rsidR="0083050D" w:rsidRPr="00571209">
        <w:rPr>
          <w:rFonts w:hint="eastAsia"/>
          <w:color w:val="000000"/>
          <w:sz w:val="20"/>
          <w:szCs w:val="21"/>
          <w:lang w:eastAsia="zh-CN"/>
        </w:rPr>
        <w:t>th</w:t>
      </w:r>
      <w:r w:rsidR="00571209">
        <w:rPr>
          <w:color w:val="000000"/>
          <w:sz w:val="20"/>
          <w:szCs w:val="21"/>
          <w:lang w:eastAsia="zh-CN"/>
        </w:rPr>
        <w:t>at</w:t>
      </w:r>
      <w:r w:rsidR="00DB2B30">
        <w:rPr>
          <w:color w:val="000000"/>
          <w:sz w:val="20"/>
          <w:szCs w:val="21"/>
          <w:lang w:eastAsia="zh-CN"/>
        </w:rPr>
        <w:t xml:space="preserve"> </w:t>
      </w:r>
      <w:r w:rsidR="00571209" w:rsidRPr="00571209">
        <w:rPr>
          <w:color w:val="000000"/>
          <w:sz w:val="20"/>
          <w:szCs w:val="21"/>
          <w:lang w:eastAsia="zh-CN"/>
        </w:rPr>
        <w:t>UE could only report the information when a triggering threshold is met, e.g., T316 exceeds a configured threshold</w:t>
      </w:r>
      <w:r w:rsidR="00571209">
        <w:rPr>
          <w:color w:val="000000"/>
          <w:sz w:val="20"/>
          <w:szCs w:val="21"/>
          <w:lang w:eastAsia="zh-CN"/>
        </w:rPr>
        <w:t xml:space="preserve">, </w:t>
      </w:r>
      <w:r w:rsidR="00571209" w:rsidRPr="00571209">
        <w:rPr>
          <w:color w:val="000000"/>
          <w:sz w:val="20"/>
          <w:szCs w:val="21"/>
          <w:lang w:eastAsia="zh-CN"/>
        </w:rPr>
        <w:t>to reduce the unnecessary reporting for fast MCG link recovery near failure case</w:t>
      </w:r>
      <w:r w:rsidR="00DB2B30">
        <w:rPr>
          <w:color w:val="000000"/>
          <w:sz w:val="20"/>
          <w:szCs w:val="21"/>
          <w:lang w:eastAsia="zh-CN"/>
        </w:rPr>
        <w:t>, which is similar to SNR</w:t>
      </w:r>
      <w:r w:rsidR="00501C35" w:rsidRPr="00571209">
        <w:rPr>
          <w:color w:val="000000"/>
          <w:sz w:val="20"/>
          <w:szCs w:val="21"/>
          <w:lang w:eastAsia="zh-CN"/>
        </w:rPr>
        <w:t>.</w:t>
      </w:r>
      <w:r w:rsidR="00C05CA8" w:rsidRPr="00571209">
        <w:rPr>
          <w:color w:val="000000"/>
          <w:sz w:val="20"/>
          <w:szCs w:val="21"/>
          <w:lang w:eastAsia="zh-CN"/>
        </w:rPr>
        <w:t xml:space="preserve"> </w:t>
      </w:r>
    </w:p>
    <w:p w14:paraId="4184F4FD" w14:textId="6006C68C" w:rsidR="00854AD0" w:rsidRPr="00F62D40" w:rsidRDefault="00854AD0" w:rsidP="009A2617">
      <w:pPr>
        <w:jc w:val="both"/>
        <w:rPr>
          <w:b/>
          <w:sz w:val="20"/>
          <w:szCs w:val="21"/>
        </w:rPr>
      </w:pPr>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Companies are invited to provide the views on</w:t>
      </w:r>
      <w:r w:rsidR="005733EF">
        <w:rPr>
          <w:rFonts w:eastAsiaTheme="minorEastAsia"/>
          <w:b/>
          <w:sz w:val="20"/>
          <w:szCs w:val="21"/>
          <w:lang w:eastAsia="zh-CN"/>
        </w:rPr>
        <w:t xml:space="preserve"> whether to introduce the T316 related triggering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40D64" w14:paraId="0CD73F32" w14:textId="77777777" w:rsidTr="00604823">
        <w:trPr>
          <w:trHeight w:val="260"/>
        </w:trPr>
        <w:tc>
          <w:tcPr>
            <w:tcW w:w="1832" w:type="dxa"/>
          </w:tcPr>
          <w:p w14:paraId="24B7558B" w14:textId="4A86B349" w:rsidR="00340D64" w:rsidRDefault="00340D64" w:rsidP="00340D64">
            <w:pPr>
              <w:jc w:val="center"/>
            </w:pPr>
            <w:bookmarkStart w:id="6" w:name="_Hlk138070298"/>
            <w:r w:rsidRPr="00E3062C">
              <w:rPr>
                <w:b/>
                <w:bCs/>
                <w:sz w:val="20"/>
                <w:szCs w:val="21"/>
              </w:rPr>
              <w:t>Company</w:t>
            </w:r>
          </w:p>
        </w:tc>
        <w:tc>
          <w:tcPr>
            <w:tcW w:w="7575" w:type="dxa"/>
          </w:tcPr>
          <w:p w14:paraId="285981DA" w14:textId="7D59CB74" w:rsidR="00340D64" w:rsidRDefault="00340D64" w:rsidP="00340D64">
            <w:pPr>
              <w:jc w:val="center"/>
            </w:pPr>
            <w:r w:rsidRPr="00E3062C">
              <w:rPr>
                <w:b/>
                <w:bCs/>
                <w:sz w:val="20"/>
                <w:szCs w:val="21"/>
              </w:rPr>
              <w:t>Comments</w:t>
            </w:r>
          </w:p>
        </w:tc>
      </w:tr>
      <w:tr w:rsidR="00340D64" w14:paraId="16C67F7E" w14:textId="77777777" w:rsidTr="00604823">
        <w:trPr>
          <w:trHeight w:val="417"/>
        </w:trPr>
        <w:tc>
          <w:tcPr>
            <w:tcW w:w="1832" w:type="dxa"/>
          </w:tcPr>
          <w:p w14:paraId="38A02114" w14:textId="2159F38C" w:rsidR="00340D64" w:rsidRDefault="00D7560D" w:rsidP="00340D64">
            <w:pPr>
              <w:rPr>
                <w:rFonts w:eastAsia="SimSun"/>
                <w:lang w:eastAsia="zh-CN"/>
              </w:rPr>
            </w:pPr>
            <w:r>
              <w:rPr>
                <w:rFonts w:eastAsia="SimSun" w:hint="eastAsia"/>
                <w:lang w:eastAsia="zh-CN"/>
              </w:rPr>
              <w:t>C</w:t>
            </w:r>
            <w:r>
              <w:rPr>
                <w:rFonts w:eastAsia="SimSun"/>
                <w:lang w:eastAsia="zh-CN"/>
              </w:rPr>
              <w:t>MCC</w:t>
            </w:r>
          </w:p>
        </w:tc>
        <w:tc>
          <w:tcPr>
            <w:tcW w:w="7575" w:type="dxa"/>
          </w:tcPr>
          <w:p w14:paraId="7221D3C7" w14:textId="06B31E49" w:rsidR="00340D64" w:rsidRDefault="00D7560D" w:rsidP="00340D64">
            <w:pPr>
              <w:rPr>
                <w:rFonts w:eastAsia="SimSun"/>
                <w:lang w:eastAsia="zh-CN"/>
              </w:rPr>
            </w:pPr>
            <w:r>
              <w:rPr>
                <w:rFonts w:eastAsia="SimSun"/>
                <w:lang w:eastAsia="zh-CN"/>
              </w:rPr>
              <w:t xml:space="preserve">We support to introduce the T316 related triggering threshold. </w:t>
            </w:r>
            <w:r w:rsidR="006709EA">
              <w:rPr>
                <w:rFonts w:eastAsia="SimSun"/>
                <w:lang w:eastAsia="zh-CN"/>
              </w:rPr>
              <w:t>O</w:t>
            </w:r>
            <w:r w:rsidRPr="00D7560D">
              <w:rPr>
                <w:rFonts w:eastAsia="SimSun"/>
                <w:lang w:eastAsia="zh-CN"/>
              </w:rPr>
              <w:t xml:space="preserve">nly </w:t>
            </w:r>
            <w:r w:rsidR="006709EA">
              <w:rPr>
                <w:rFonts w:eastAsia="SimSun"/>
                <w:lang w:eastAsia="zh-CN"/>
              </w:rPr>
              <w:t>if</w:t>
            </w:r>
            <w:r w:rsidRPr="00D7560D">
              <w:rPr>
                <w:rFonts w:eastAsia="SimSun"/>
                <w:lang w:eastAsia="zh-CN"/>
              </w:rPr>
              <w:t xml:space="preserve"> the triggering threshold is met, UE generates and reports the information, which </w:t>
            </w:r>
            <w:r w:rsidR="006709EA">
              <w:rPr>
                <w:rFonts w:eastAsia="SimSun"/>
                <w:lang w:eastAsia="zh-CN"/>
              </w:rPr>
              <w:t xml:space="preserve">will reduce </w:t>
            </w:r>
            <w:r w:rsidRPr="00D7560D">
              <w:rPr>
                <w:rFonts w:eastAsia="SimSun"/>
                <w:lang w:eastAsia="zh-CN"/>
              </w:rPr>
              <w:t>the reporting overhead</w:t>
            </w:r>
            <w:r w:rsidR="006709EA">
              <w:rPr>
                <w:rFonts w:eastAsia="SimSun"/>
                <w:lang w:eastAsia="zh-CN"/>
              </w:rPr>
              <w:t xml:space="preserve"> for UE</w:t>
            </w:r>
            <w:r w:rsidRPr="00D7560D">
              <w:rPr>
                <w:rFonts w:eastAsia="SimSun"/>
                <w:lang w:eastAsia="zh-CN"/>
              </w:rPr>
              <w:t>.</w:t>
            </w:r>
          </w:p>
        </w:tc>
      </w:tr>
      <w:tr w:rsidR="00340D64" w14:paraId="64C54D31" w14:textId="77777777" w:rsidTr="00604823">
        <w:trPr>
          <w:trHeight w:val="417"/>
        </w:trPr>
        <w:tc>
          <w:tcPr>
            <w:tcW w:w="1832" w:type="dxa"/>
          </w:tcPr>
          <w:p w14:paraId="5815C489" w14:textId="4F359D24" w:rsidR="00340D64" w:rsidRPr="002C1C59" w:rsidRDefault="002C1C59" w:rsidP="00340D64">
            <w:pPr>
              <w:rPr>
                <w:rFonts w:eastAsiaTheme="minorEastAsia"/>
                <w:lang w:eastAsia="zh-CN"/>
              </w:rPr>
            </w:pPr>
            <w:r>
              <w:rPr>
                <w:rFonts w:eastAsiaTheme="minorEastAsia" w:hint="eastAsia"/>
                <w:lang w:eastAsia="zh-CN"/>
              </w:rPr>
              <w:t>CATT</w:t>
            </w:r>
          </w:p>
        </w:tc>
        <w:tc>
          <w:tcPr>
            <w:tcW w:w="7575" w:type="dxa"/>
          </w:tcPr>
          <w:p w14:paraId="5621ABB6" w14:textId="72B89BBE" w:rsidR="00340D64" w:rsidRPr="00C82041" w:rsidRDefault="00AD3BEF" w:rsidP="00AD3BEF">
            <w:pPr>
              <w:rPr>
                <w:rFonts w:eastAsiaTheme="minorEastAsia"/>
                <w:lang w:eastAsia="zh-CN"/>
              </w:rPr>
            </w:pPr>
            <w:r>
              <w:rPr>
                <w:rFonts w:eastAsiaTheme="minorEastAsia" w:hint="eastAsia"/>
                <w:lang w:eastAsia="zh-CN"/>
              </w:rPr>
              <w:t>Agree with CMCC, and m</w:t>
            </w:r>
            <w:r w:rsidR="00C82041">
              <w:rPr>
                <w:rFonts w:eastAsiaTheme="minorEastAsia" w:hint="eastAsia"/>
                <w:lang w:eastAsia="zh-CN"/>
              </w:rPr>
              <w:t>aybe the similar thresholds configuration of SHR T310 can be reused</w:t>
            </w:r>
            <w:r w:rsidR="00B47F62">
              <w:rPr>
                <w:rFonts w:eastAsiaTheme="minorEastAsia" w:hint="eastAsia"/>
                <w:lang w:eastAsia="zh-CN"/>
              </w:rPr>
              <w:t>:</w:t>
            </w:r>
            <w:r w:rsidR="00C82041">
              <w:rPr>
                <w:rFonts w:eastAsiaTheme="minorEastAsia" w:hint="eastAsia"/>
                <w:lang w:eastAsia="zh-CN"/>
              </w:rPr>
              <w:t xml:space="preserve"> </w:t>
            </w:r>
            <w:r w:rsidR="00C82041" w:rsidRPr="00C82041">
              <w:rPr>
                <w:rFonts w:eastAsiaTheme="minorEastAsia"/>
                <w:lang w:eastAsia="zh-CN"/>
              </w:rPr>
              <w:t>ENUMERATED {p40, p60, p80, spare5, spare4, spare3, spare2, spare1}</w:t>
            </w:r>
            <w:r w:rsidR="00C82041">
              <w:rPr>
                <w:rFonts w:eastAsiaTheme="minorEastAsia" w:hint="eastAsia"/>
                <w:lang w:eastAsia="zh-CN"/>
              </w:rPr>
              <w:t>.</w:t>
            </w:r>
          </w:p>
        </w:tc>
      </w:tr>
      <w:tr w:rsidR="00BC4F2B" w14:paraId="39C964EA" w14:textId="77777777" w:rsidTr="00604823">
        <w:trPr>
          <w:trHeight w:val="417"/>
        </w:trPr>
        <w:tc>
          <w:tcPr>
            <w:tcW w:w="1832" w:type="dxa"/>
          </w:tcPr>
          <w:p w14:paraId="002F361C" w14:textId="2DF6A0AD" w:rsidR="00BC4F2B" w:rsidRDefault="00BC4F2B" w:rsidP="00BC4F2B">
            <w:r>
              <w:t>Samsung</w:t>
            </w:r>
          </w:p>
        </w:tc>
        <w:tc>
          <w:tcPr>
            <w:tcW w:w="7575" w:type="dxa"/>
          </w:tcPr>
          <w:p w14:paraId="2E3B7377" w14:textId="697ED1DB" w:rsidR="00BC4F2B" w:rsidRDefault="00BC4F2B" w:rsidP="00BC4F2B">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rsidR="00BC4F2B" w:rsidRPr="004D0D73" w14:paraId="45BC4687" w14:textId="77777777" w:rsidTr="00604823">
        <w:trPr>
          <w:trHeight w:val="366"/>
        </w:trPr>
        <w:tc>
          <w:tcPr>
            <w:tcW w:w="1832" w:type="dxa"/>
          </w:tcPr>
          <w:p w14:paraId="7E312E36" w14:textId="77777777" w:rsidR="00BC4F2B" w:rsidRPr="004D0D73" w:rsidRDefault="00BC4F2B" w:rsidP="00BC4F2B">
            <w:pPr>
              <w:rPr>
                <w:rFonts w:eastAsia="SimSun"/>
                <w:lang w:eastAsia="zh-CN"/>
              </w:rPr>
            </w:pPr>
          </w:p>
        </w:tc>
        <w:tc>
          <w:tcPr>
            <w:tcW w:w="7575" w:type="dxa"/>
          </w:tcPr>
          <w:p w14:paraId="3FC6B937" w14:textId="77777777" w:rsidR="00BC4F2B" w:rsidRPr="004D0D73" w:rsidRDefault="00BC4F2B" w:rsidP="00BC4F2B">
            <w:pPr>
              <w:rPr>
                <w:rFonts w:eastAsia="SimSun"/>
                <w:lang w:eastAsia="zh-CN"/>
              </w:rPr>
            </w:pPr>
          </w:p>
        </w:tc>
      </w:tr>
    </w:tbl>
    <w:p w14:paraId="74A072F9" w14:textId="77777777" w:rsidR="003712BB" w:rsidRDefault="003712BB" w:rsidP="003712BB">
      <w:pPr>
        <w:rPr>
          <w:lang w:eastAsia="zh-CN"/>
        </w:rPr>
      </w:pPr>
      <w:bookmarkStart w:id="7" w:name="_Hlk62427784"/>
      <w:bookmarkEnd w:id="6"/>
    </w:p>
    <w:p w14:paraId="5C9EAA6B" w14:textId="623DB6F3" w:rsidR="003712BB" w:rsidRDefault="003712BB" w:rsidP="003712BB">
      <w:pPr>
        <w:pStyle w:val="Heading2"/>
        <w:ind w:left="578" w:hanging="578"/>
        <w:rPr>
          <w:lang w:eastAsia="zh-CN"/>
        </w:rPr>
      </w:pPr>
      <w:r>
        <w:rPr>
          <w:lang w:eastAsia="zh-CN"/>
        </w:rPr>
        <w:lastRenderedPageBreak/>
        <w:t>T</w:t>
      </w:r>
      <w:r w:rsidRPr="005733EF">
        <w:rPr>
          <w:lang w:eastAsia="zh-CN"/>
        </w:rPr>
        <w:t>ime information reported by UE for fast MCG link recovery optimization</w:t>
      </w:r>
    </w:p>
    <w:p w14:paraId="3A85FA0C" w14:textId="02DFB02B" w:rsidR="00D64C5B" w:rsidRPr="00BB2803" w:rsidRDefault="008A1FB1" w:rsidP="00D64C5B">
      <w:pPr>
        <w:overflowPunct w:val="0"/>
        <w:autoSpaceDE w:val="0"/>
        <w:autoSpaceDN w:val="0"/>
        <w:adjustRightInd w:val="0"/>
        <w:spacing w:after="240"/>
        <w:jc w:val="both"/>
        <w:textAlignment w:val="baseline"/>
        <w:rPr>
          <w:sz w:val="20"/>
          <w:szCs w:val="21"/>
        </w:rPr>
      </w:pPr>
      <w:r>
        <w:rPr>
          <w:sz w:val="20"/>
          <w:szCs w:val="21"/>
        </w:rPr>
        <w:t>Until now, f</w:t>
      </w:r>
      <w:r w:rsidR="00D64C5B" w:rsidRPr="00BB2803">
        <w:rPr>
          <w:sz w:val="20"/>
          <w:szCs w:val="21"/>
        </w:rPr>
        <w:t xml:space="preserve">ollowing cases for fast MCG link recovery have been agreed to be addressed in </w:t>
      </w:r>
      <w:r>
        <w:rPr>
          <w:sz w:val="20"/>
          <w:szCs w:val="21"/>
        </w:rPr>
        <w:t xml:space="preserve">both RAN2 and </w:t>
      </w:r>
      <w:r w:rsidR="00D64C5B" w:rsidRPr="00BB2803">
        <w:rPr>
          <w:sz w:val="20"/>
          <w:szCs w:val="21"/>
        </w:rPr>
        <w:t>RAN3:</w:t>
      </w:r>
    </w:p>
    <w:p w14:paraId="2A12FFC0" w14:textId="77777777" w:rsidR="008A1FB1" w:rsidRPr="008A1FB1" w:rsidRDefault="008A1FB1" w:rsidP="008A1FB1">
      <w:pPr>
        <w:numPr>
          <w:ilvl w:val="0"/>
          <w:numId w:val="17"/>
        </w:numPr>
        <w:rPr>
          <w:color w:val="00B050"/>
          <w:sz w:val="20"/>
          <w:szCs w:val="20"/>
        </w:rPr>
      </w:pPr>
      <w:r w:rsidRPr="008A1FB1">
        <w:rPr>
          <w:color w:val="00B050"/>
          <w:sz w:val="20"/>
          <w:szCs w:val="20"/>
        </w:rPr>
        <w:t>C</w:t>
      </w:r>
      <w:r w:rsidRPr="008A1FB1">
        <w:rPr>
          <w:rFonts w:hint="eastAsia"/>
          <w:color w:val="00B050"/>
          <w:sz w:val="20"/>
          <w:szCs w:val="20"/>
        </w:rPr>
        <w:t>ase</w:t>
      </w:r>
      <w:r w:rsidRPr="008A1FB1">
        <w:rPr>
          <w:color w:val="00B050"/>
          <w:sz w:val="20"/>
          <w:szCs w:val="20"/>
        </w:rPr>
        <w:t xml:space="preserve"> a: SCG fails when the UE is undergoing fast MCG recovery (i.e. SCG failure happens while T316 is running)</w:t>
      </w:r>
    </w:p>
    <w:p w14:paraId="35EA2A17" w14:textId="77777777" w:rsidR="008A1FB1" w:rsidRPr="008A1FB1" w:rsidRDefault="008A1FB1" w:rsidP="008A1FB1">
      <w:pPr>
        <w:numPr>
          <w:ilvl w:val="0"/>
          <w:numId w:val="17"/>
        </w:numPr>
        <w:rPr>
          <w:color w:val="00B050"/>
          <w:sz w:val="20"/>
          <w:szCs w:val="20"/>
        </w:rPr>
      </w:pPr>
      <w:r w:rsidRPr="008A1FB1">
        <w:rPr>
          <w:color w:val="00B050"/>
          <w:sz w:val="20"/>
          <w:szCs w:val="20"/>
        </w:rPr>
        <w:t>Case f1: SCG fails or is deactivated yet before the UE sends the MCGFailureInformation</w:t>
      </w:r>
    </w:p>
    <w:p w14:paraId="735D76D0" w14:textId="77777777" w:rsidR="008A1FB1" w:rsidRPr="008A1FB1" w:rsidRDefault="008A1FB1" w:rsidP="008A1FB1">
      <w:pPr>
        <w:numPr>
          <w:ilvl w:val="0"/>
          <w:numId w:val="17"/>
        </w:numPr>
        <w:rPr>
          <w:color w:val="00B050"/>
          <w:sz w:val="20"/>
          <w:szCs w:val="20"/>
        </w:rPr>
      </w:pPr>
      <w:r w:rsidRPr="008A1FB1">
        <w:rPr>
          <w:color w:val="00B050"/>
          <w:sz w:val="20"/>
          <w:szCs w:val="20"/>
        </w:rPr>
        <w:t>Case b: the signalling delay is longer than the time the UE waits for the response (T316 expired)</w:t>
      </w:r>
    </w:p>
    <w:p w14:paraId="7CA34728" w14:textId="1AAE417C" w:rsidR="00D64C5B" w:rsidRPr="00A0087B" w:rsidRDefault="00D64C5B" w:rsidP="008A1FB1">
      <w:pPr>
        <w:overflowPunct w:val="0"/>
        <w:autoSpaceDE w:val="0"/>
        <w:autoSpaceDN w:val="0"/>
        <w:adjustRightInd w:val="0"/>
        <w:ind w:left="720"/>
        <w:textAlignment w:val="baseline"/>
        <w:rPr>
          <w:rFonts w:ascii="Arial" w:hAnsi="Arial"/>
          <w:color w:val="00B050"/>
          <w:sz w:val="20"/>
          <w:szCs w:val="20"/>
          <w:lang w:val="en-GB" w:eastAsia="en-US"/>
        </w:rPr>
      </w:pPr>
    </w:p>
    <w:p w14:paraId="4DFCAA54" w14:textId="25A4F3BD" w:rsidR="003712BB" w:rsidRDefault="003712BB" w:rsidP="00A0087B">
      <w:pPr>
        <w:spacing w:line="360" w:lineRule="auto"/>
        <w:jc w:val="both"/>
        <w:rPr>
          <w:sz w:val="20"/>
          <w:szCs w:val="21"/>
        </w:rPr>
      </w:pPr>
      <w:r>
        <w:rPr>
          <w:sz w:val="20"/>
          <w:szCs w:val="21"/>
        </w:rPr>
        <w:t xml:space="preserve">Regard to fast MCG link recovery optimization, </w:t>
      </w:r>
      <w:r w:rsidRPr="00B97B8C">
        <w:rPr>
          <w:sz w:val="20"/>
          <w:szCs w:val="21"/>
        </w:rPr>
        <w:t xml:space="preserve">some time-related information </w:t>
      </w:r>
      <w:r w:rsidR="00B44D6B" w:rsidRPr="00B97B8C">
        <w:rPr>
          <w:sz w:val="20"/>
          <w:szCs w:val="21"/>
        </w:rPr>
        <w:t>is</w:t>
      </w:r>
      <w:r w:rsidRPr="00B97B8C">
        <w:rPr>
          <w:sz w:val="20"/>
          <w:szCs w:val="21"/>
        </w:rPr>
        <w:t xml:space="preserve"> also beneficial for network to understand the situation of SCG and do further optimization of fast MCG recovery</w:t>
      </w:r>
      <w:r>
        <w:rPr>
          <w:sz w:val="20"/>
          <w:szCs w:val="21"/>
        </w:rPr>
        <w:t xml:space="preserve">, </w:t>
      </w:r>
      <w:r w:rsidRPr="00FC7F6A">
        <w:rPr>
          <w:sz w:val="20"/>
          <w:szCs w:val="21"/>
        </w:rPr>
        <w:t>e.g., the time between MCG failure (or transmitting MCGFailureInformation) and SCG failure or SCG deactivation.</w:t>
      </w:r>
    </w:p>
    <w:p w14:paraId="57374392" w14:textId="2660B673" w:rsidR="003712BB" w:rsidRPr="00B97B8C" w:rsidRDefault="003712BB" w:rsidP="00A0087B">
      <w:pPr>
        <w:spacing w:line="360" w:lineRule="auto"/>
        <w:jc w:val="both"/>
        <w:rPr>
          <w:sz w:val="20"/>
          <w:szCs w:val="21"/>
        </w:rPr>
      </w:pPr>
      <w:r>
        <w:rPr>
          <w:sz w:val="20"/>
          <w:szCs w:val="21"/>
        </w:rPr>
        <w:t xml:space="preserve">Therefore, </w:t>
      </w:r>
      <w:r w:rsidR="008A1FB1">
        <w:rPr>
          <w:sz w:val="20"/>
          <w:szCs w:val="21"/>
        </w:rPr>
        <w:t>f</w:t>
      </w:r>
      <w:r w:rsidR="008A1FB1" w:rsidRPr="00340D64">
        <w:rPr>
          <w:sz w:val="20"/>
          <w:szCs w:val="21"/>
        </w:rPr>
        <w:t>or case a, UE reports the time between MCG failure (or transmitting MCGFailureInformation) and SCG failure.</w:t>
      </w:r>
      <w:r w:rsidR="008A1FB1">
        <w:rPr>
          <w:sz w:val="20"/>
          <w:szCs w:val="21"/>
        </w:rPr>
        <w:t xml:space="preserve"> F</w:t>
      </w:r>
      <w:r w:rsidRPr="00340D64">
        <w:rPr>
          <w:sz w:val="20"/>
          <w:szCs w:val="21"/>
        </w:rPr>
        <w:t xml:space="preserve">or case f1, UE reports the time between MCG failure (or transmitting MCGFailureInformation) and SCG failure or SCG deactivation. </w:t>
      </w:r>
    </w:p>
    <w:p w14:paraId="7E28225C" w14:textId="452C927E" w:rsidR="003712BB" w:rsidRPr="00A0087B" w:rsidRDefault="003712BB" w:rsidP="003712BB">
      <w:pPr>
        <w:rPr>
          <w:b/>
          <w:sz w:val="20"/>
          <w:szCs w:val="20"/>
        </w:rPr>
      </w:pPr>
      <w:r w:rsidRPr="00A0087B">
        <w:rPr>
          <w:b/>
          <w:sz w:val="20"/>
          <w:szCs w:val="20"/>
        </w:rPr>
        <w:t xml:space="preserve">Question 3: </w:t>
      </w:r>
      <w:bookmarkStart w:id="8" w:name="_Hlk138608000"/>
      <w:r w:rsidRPr="00A0087B">
        <w:rPr>
          <w:b/>
          <w:sz w:val="20"/>
          <w:szCs w:val="20"/>
        </w:rPr>
        <w:t>Companies are invited to provide the views</w:t>
      </w:r>
      <w:bookmarkEnd w:id="8"/>
      <w:r w:rsidRPr="00A0087B">
        <w:rPr>
          <w:b/>
          <w:sz w:val="20"/>
          <w:szCs w:val="20"/>
        </w:rPr>
        <w:t xml:space="preserve"> on whether to agree </w:t>
      </w:r>
      <w:r w:rsidR="001505A9" w:rsidRPr="00A0087B">
        <w:rPr>
          <w:b/>
          <w:sz w:val="20"/>
          <w:szCs w:val="20"/>
        </w:rPr>
        <w:t xml:space="preserve">to </w:t>
      </w:r>
      <w:r w:rsidRPr="00A0087B">
        <w:rPr>
          <w:b/>
          <w:sz w:val="20"/>
          <w:szCs w:val="20"/>
        </w:rPr>
        <w:t>report the time information for fast MCG link recovery optimization in the proposal listed below.</w:t>
      </w:r>
    </w:p>
    <w:p w14:paraId="64BB19F5" w14:textId="77777777" w:rsidR="003712BB" w:rsidRPr="00A0087B" w:rsidRDefault="003712BB" w:rsidP="003712BB">
      <w:pPr>
        <w:overflowPunct w:val="0"/>
        <w:autoSpaceDE w:val="0"/>
        <w:autoSpaceDN w:val="0"/>
        <w:adjustRightInd w:val="0"/>
        <w:spacing w:after="240"/>
        <w:jc w:val="both"/>
        <w:textAlignment w:val="baseline"/>
        <w:rPr>
          <w:rFonts w:eastAsiaTheme="minorEastAsia"/>
          <w:b/>
          <w:sz w:val="20"/>
          <w:szCs w:val="20"/>
          <w:lang w:val="en-GB" w:eastAsia="zh-CN"/>
        </w:rPr>
      </w:pPr>
      <w:r w:rsidRPr="00A0087B">
        <w:rPr>
          <w:rFonts w:eastAsiaTheme="minorEastAsia" w:hint="eastAsia"/>
          <w:b/>
          <w:sz w:val="20"/>
          <w:szCs w:val="20"/>
          <w:lang w:val="en-GB" w:eastAsia="zh-CN"/>
        </w:rPr>
        <w:t>Proposal:</w:t>
      </w:r>
      <w:r w:rsidRPr="00A0087B">
        <w:rPr>
          <w:rFonts w:eastAsiaTheme="minorEastAsia"/>
          <w:b/>
          <w:sz w:val="20"/>
          <w:szCs w:val="20"/>
          <w:lang w:val="en-GB" w:eastAsia="zh-CN"/>
        </w:rPr>
        <w:t xml:space="preserve"> UE </w:t>
      </w:r>
      <w:r w:rsidRPr="00A0087B">
        <w:rPr>
          <w:rFonts w:eastAsiaTheme="minorEastAsia" w:hint="eastAsia"/>
          <w:b/>
          <w:sz w:val="20"/>
          <w:szCs w:val="20"/>
          <w:lang w:val="en-GB" w:eastAsia="zh-CN"/>
        </w:rPr>
        <w:t>reports</w:t>
      </w:r>
      <w:r w:rsidRPr="00A0087B">
        <w:rPr>
          <w:rFonts w:eastAsiaTheme="minorEastAsia"/>
          <w:b/>
          <w:sz w:val="20"/>
          <w:szCs w:val="20"/>
          <w:lang w:val="en-GB" w:eastAsia="zh-CN"/>
        </w:rPr>
        <w:t xml:space="preserve"> following time information for fast MCG link recovery optimization:</w:t>
      </w:r>
    </w:p>
    <w:p w14:paraId="78DFB3A0" w14:textId="77777777" w:rsidR="003712BB" w:rsidRPr="00A0087B" w:rsidRDefault="003712BB" w:rsidP="003712BB">
      <w:pPr>
        <w:numPr>
          <w:ilvl w:val="0"/>
          <w:numId w:val="15"/>
        </w:numPr>
        <w:overflowPunct w:val="0"/>
        <w:autoSpaceDE w:val="0"/>
        <w:autoSpaceDN w:val="0"/>
        <w:adjustRightInd w:val="0"/>
        <w:spacing w:after="24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Time between MCG failure (or transmitting MCGFailureInformation) and SCG failure</w:t>
      </w:r>
      <w:r w:rsidRPr="00A0087B">
        <w:rPr>
          <w:rFonts w:eastAsiaTheme="minorEastAsia" w:hint="eastAsia"/>
          <w:b/>
          <w:sz w:val="20"/>
          <w:szCs w:val="20"/>
          <w:lang w:val="en-GB" w:eastAsia="zh-CN"/>
        </w:rPr>
        <w:t xml:space="preserve"> </w:t>
      </w:r>
      <w:r w:rsidRPr="00A0087B">
        <w:rPr>
          <w:rFonts w:eastAsiaTheme="minorEastAsia"/>
          <w:b/>
          <w:sz w:val="20"/>
          <w:szCs w:val="20"/>
          <w:lang w:val="en-GB" w:eastAsia="zh-CN"/>
        </w:rPr>
        <w:t>for case a and f1</w:t>
      </w:r>
    </w:p>
    <w:p w14:paraId="38FB0958" w14:textId="77777777" w:rsidR="003712BB" w:rsidRPr="00A0087B" w:rsidRDefault="003712BB" w:rsidP="001505A9">
      <w:pPr>
        <w:numPr>
          <w:ilvl w:val="0"/>
          <w:numId w:val="15"/>
        </w:numPr>
        <w:overflowPunct w:val="0"/>
        <w:autoSpaceDE w:val="0"/>
        <w:autoSpaceDN w:val="0"/>
        <w:adjustRightInd w:val="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Time between MCG failure (or transmitting MCGFailureInformation) and SCG deactivation for case f1</w:t>
      </w:r>
      <w:r w:rsidRPr="00A0087B">
        <w:rPr>
          <w:rFonts w:ascii="SimSun" w:eastAsia="SimSun" w:hAnsi="SimSun"/>
          <w:b/>
          <w:sz w:val="20"/>
          <w:szCs w:val="20"/>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712BB" w14:paraId="51CC3BB8" w14:textId="77777777" w:rsidTr="00FD3DC5">
        <w:trPr>
          <w:trHeight w:val="260"/>
        </w:trPr>
        <w:tc>
          <w:tcPr>
            <w:tcW w:w="1832" w:type="dxa"/>
          </w:tcPr>
          <w:p w14:paraId="11A25781" w14:textId="77777777" w:rsidR="003712BB" w:rsidRDefault="003712BB" w:rsidP="00FD3DC5">
            <w:pPr>
              <w:jc w:val="center"/>
            </w:pPr>
            <w:r w:rsidRPr="00E3062C">
              <w:rPr>
                <w:b/>
                <w:bCs/>
                <w:sz w:val="20"/>
                <w:szCs w:val="21"/>
              </w:rPr>
              <w:t>Company</w:t>
            </w:r>
          </w:p>
        </w:tc>
        <w:tc>
          <w:tcPr>
            <w:tcW w:w="7575" w:type="dxa"/>
          </w:tcPr>
          <w:p w14:paraId="1C039DDF" w14:textId="77777777" w:rsidR="003712BB" w:rsidRDefault="003712BB" w:rsidP="00FD3DC5">
            <w:pPr>
              <w:jc w:val="center"/>
            </w:pPr>
            <w:r w:rsidRPr="00E3062C">
              <w:rPr>
                <w:b/>
                <w:bCs/>
                <w:sz w:val="20"/>
                <w:szCs w:val="21"/>
              </w:rPr>
              <w:t>Comments</w:t>
            </w:r>
          </w:p>
        </w:tc>
      </w:tr>
      <w:tr w:rsidR="003712BB" w14:paraId="50873FCA" w14:textId="77777777" w:rsidTr="00FD3DC5">
        <w:trPr>
          <w:trHeight w:val="417"/>
        </w:trPr>
        <w:tc>
          <w:tcPr>
            <w:tcW w:w="1832" w:type="dxa"/>
          </w:tcPr>
          <w:p w14:paraId="231BD52B" w14:textId="4B066C68" w:rsidR="003712BB" w:rsidRDefault="00D7560D" w:rsidP="00FD3DC5">
            <w:pPr>
              <w:rPr>
                <w:rFonts w:eastAsia="SimSun"/>
                <w:lang w:eastAsia="zh-CN"/>
              </w:rPr>
            </w:pPr>
            <w:r>
              <w:rPr>
                <w:rFonts w:eastAsia="SimSun" w:hint="eastAsia"/>
                <w:lang w:eastAsia="zh-CN"/>
              </w:rPr>
              <w:t>C</w:t>
            </w:r>
            <w:r>
              <w:rPr>
                <w:rFonts w:eastAsia="SimSun"/>
                <w:lang w:eastAsia="zh-CN"/>
              </w:rPr>
              <w:t>MCC</w:t>
            </w:r>
          </w:p>
        </w:tc>
        <w:tc>
          <w:tcPr>
            <w:tcW w:w="7575" w:type="dxa"/>
          </w:tcPr>
          <w:p w14:paraId="3958814D" w14:textId="77777777" w:rsidR="008A1FB1" w:rsidRDefault="00352CA6" w:rsidP="00FD3DC5">
            <w:pPr>
              <w:rPr>
                <w:rFonts w:eastAsia="SimSun"/>
                <w:lang w:eastAsia="zh-CN"/>
              </w:rPr>
            </w:pPr>
            <w:r>
              <w:rPr>
                <w:rFonts w:eastAsia="SimSun"/>
                <w:lang w:eastAsia="zh-CN"/>
              </w:rPr>
              <w:t>W</w:t>
            </w:r>
            <w:r w:rsidR="00D7560D">
              <w:rPr>
                <w:rFonts w:eastAsia="SimSun"/>
                <w:lang w:eastAsia="zh-CN"/>
              </w:rPr>
              <w:t xml:space="preserve">e support to report the </w:t>
            </w:r>
            <w:r w:rsidR="007F4B58">
              <w:rPr>
                <w:rFonts w:eastAsia="SimSun"/>
                <w:lang w:eastAsia="zh-CN"/>
              </w:rPr>
              <w:t xml:space="preserve">above </w:t>
            </w:r>
            <w:r w:rsidR="00D7560D">
              <w:rPr>
                <w:rFonts w:eastAsia="SimSun"/>
                <w:lang w:eastAsia="zh-CN"/>
              </w:rPr>
              <w:t>time information for fast MCG link recovery optimization.</w:t>
            </w:r>
            <w:r>
              <w:rPr>
                <w:rFonts w:eastAsia="SimSun"/>
                <w:lang w:eastAsia="zh-CN"/>
              </w:rPr>
              <w:t xml:space="preserve"> </w:t>
            </w:r>
          </w:p>
          <w:p w14:paraId="2F8830D2" w14:textId="77777777" w:rsidR="008A1FB1" w:rsidRDefault="00352CA6" w:rsidP="00FD3DC5">
            <w:pPr>
              <w:rPr>
                <w:rFonts w:eastAsia="SimSun"/>
                <w:lang w:eastAsia="zh-CN"/>
              </w:rPr>
            </w:pPr>
            <w:r>
              <w:rPr>
                <w:rFonts w:eastAsia="SimSun"/>
                <w:lang w:eastAsia="zh-CN"/>
              </w:rPr>
              <w:t>F</w:t>
            </w:r>
            <w:r w:rsidRPr="00352CA6">
              <w:rPr>
                <w:rFonts w:eastAsia="SimSun"/>
                <w:lang w:eastAsia="zh-CN"/>
              </w:rPr>
              <w:t xml:space="preserve">or the scenario that both MCG failure and SCG failure happen in a short time, it means there is a coverage issue, since the UE cannot connect to the network at all, the coverage enhancement is necessary. </w:t>
            </w:r>
          </w:p>
          <w:p w14:paraId="7DCD857E" w14:textId="13654802" w:rsidR="003712BB" w:rsidRDefault="00352CA6" w:rsidP="00FD3DC5">
            <w:pPr>
              <w:rPr>
                <w:rFonts w:eastAsia="SimSun"/>
                <w:lang w:eastAsia="zh-CN"/>
              </w:rPr>
            </w:pPr>
            <w:r w:rsidRPr="00352CA6">
              <w:rPr>
                <w:rFonts w:eastAsia="SimSun"/>
                <w:lang w:eastAsia="zh-CN"/>
              </w:rPr>
              <w:t>For the scenario that both MCG failure and SCG deactivation happen in a short time, it means the decision of SCG deactivation is not appropriate, so the principle to deactivate SCG needs further optimization.</w:t>
            </w:r>
          </w:p>
        </w:tc>
      </w:tr>
      <w:tr w:rsidR="003712BB" w14:paraId="5538F116" w14:textId="77777777" w:rsidTr="00FD3DC5">
        <w:trPr>
          <w:trHeight w:val="417"/>
        </w:trPr>
        <w:tc>
          <w:tcPr>
            <w:tcW w:w="1832" w:type="dxa"/>
          </w:tcPr>
          <w:p w14:paraId="6FA6FC86" w14:textId="72A7F35A" w:rsidR="003712BB" w:rsidRPr="00CF00DE" w:rsidRDefault="00CF00DE" w:rsidP="00FD3DC5">
            <w:pPr>
              <w:rPr>
                <w:rFonts w:eastAsiaTheme="minorEastAsia"/>
                <w:lang w:eastAsia="zh-CN"/>
              </w:rPr>
            </w:pPr>
            <w:r>
              <w:rPr>
                <w:rFonts w:eastAsiaTheme="minorEastAsia" w:hint="eastAsia"/>
                <w:lang w:eastAsia="zh-CN"/>
              </w:rPr>
              <w:t>CATT</w:t>
            </w:r>
          </w:p>
        </w:tc>
        <w:tc>
          <w:tcPr>
            <w:tcW w:w="7575" w:type="dxa"/>
          </w:tcPr>
          <w:p w14:paraId="122A1195" w14:textId="42E24783" w:rsidR="003712BB" w:rsidRDefault="00CF00DE" w:rsidP="004012BB">
            <w:pPr>
              <w:rPr>
                <w:rFonts w:eastAsiaTheme="minorEastAsia"/>
                <w:lang w:eastAsia="zh-CN"/>
              </w:rPr>
            </w:pPr>
            <w:r>
              <w:rPr>
                <w:rFonts w:eastAsiaTheme="minorEastAsia" w:hint="eastAsia"/>
                <w:lang w:eastAsia="zh-CN"/>
              </w:rPr>
              <w:t xml:space="preserve">Agree with CMCC, </w:t>
            </w:r>
            <w:r w:rsidR="004012BB">
              <w:rPr>
                <w:rFonts w:eastAsiaTheme="minorEastAsia" w:hint="eastAsia"/>
                <w:lang w:eastAsia="zh-CN"/>
              </w:rPr>
              <w:t xml:space="preserve">at least the time between MCG failure and SCG failure should be </w:t>
            </w:r>
            <w:r w:rsidR="00716B69">
              <w:rPr>
                <w:rFonts w:eastAsiaTheme="minorEastAsia" w:hint="eastAsia"/>
                <w:lang w:eastAsia="zh-CN"/>
              </w:rPr>
              <w:t>introduced</w:t>
            </w:r>
            <w:r w:rsidR="004012BB">
              <w:rPr>
                <w:rFonts w:eastAsiaTheme="minorEastAsia" w:hint="eastAsia"/>
                <w:lang w:eastAsia="zh-CN"/>
              </w:rPr>
              <w:t xml:space="preserve"> since the time can be used to indicate whether the coverage problem of the MN an SN maybe occurred in a nearby location. Then some optimization can be performed.</w:t>
            </w:r>
          </w:p>
          <w:p w14:paraId="7432A034" w14:textId="4D2355C6" w:rsidR="004012BB" w:rsidRDefault="004012BB" w:rsidP="00FE7E91">
            <w:r>
              <w:rPr>
                <w:rFonts w:eastAsiaTheme="minorEastAsia" w:hint="eastAsia"/>
                <w:lang w:eastAsia="zh-CN"/>
              </w:rPr>
              <w:t xml:space="preserve">For the MCG failure and SCG </w:t>
            </w:r>
            <w:r w:rsidRPr="004012BB">
              <w:rPr>
                <w:rFonts w:eastAsiaTheme="minorEastAsia"/>
                <w:lang w:eastAsia="zh-CN"/>
              </w:rPr>
              <w:t>deactivat</w:t>
            </w:r>
            <w:r>
              <w:rPr>
                <w:rFonts w:eastAsiaTheme="minorEastAsia" w:hint="eastAsia"/>
                <w:lang w:eastAsia="zh-CN"/>
              </w:rPr>
              <w:t xml:space="preserve">ion scenario, the NW </w:t>
            </w:r>
            <w:r w:rsidR="00613B8D">
              <w:rPr>
                <w:rFonts w:eastAsiaTheme="minorEastAsia" w:hint="eastAsia"/>
                <w:lang w:eastAsia="zh-CN"/>
              </w:rPr>
              <w:t xml:space="preserve">could consider </w:t>
            </w:r>
            <w:r w:rsidR="0025321D">
              <w:rPr>
                <w:rFonts w:eastAsiaTheme="minorEastAsia" w:hint="eastAsia"/>
                <w:lang w:eastAsia="zh-CN"/>
              </w:rPr>
              <w:t>r</w:t>
            </w:r>
            <w:r w:rsidR="00613B8D" w:rsidRPr="00613B8D">
              <w:rPr>
                <w:rFonts w:eastAsiaTheme="minorEastAsia"/>
                <w:lang w:eastAsia="zh-CN"/>
              </w:rPr>
              <w:t xml:space="preserve">educing the possibility of initiating SCG </w:t>
            </w:r>
            <w:r w:rsidR="00613B8D" w:rsidRPr="004012BB">
              <w:rPr>
                <w:rFonts w:eastAsiaTheme="minorEastAsia"/>
                <w:lang w:eastAsia="zh-CN"/>
              </w:rPr>
              <w:t>deactivat</w:t>
            </w:r>
            <w:r w:rsidR="00613B8D">
              <w:rPr>
                <w:rFonts w:eastAsiaTheme="minorEastAsia" w:hint="eastAsia"/>
                <w:lang w:eastAsia="zh-CN"/>
              </w:rPr>
              <w:t xml:space="preserve">ion </w:t>
            </w:r>
            <w:r w:rsidR="00613B8D" w:rsidRPr="00613B8D">
              <w:rPr>
                <w:rFonts w:eastAsiaTheme="minorEastAsia"/>
                <w:lang w:eastAsia="zh-CN"/>
              </w:rPr>
              <w:t xml:space="preserve">near the location of MCG failure, so that </w:t>
            </w:r>
            <w:r w:rsidR="00613B8D">
              <w:rPr>
                <w:rFonts w:eastAsiaTheme="minorEastAsia" w:hint="eastAsia"/>
                <w:lang w:eastAsia="zh-CN"/>
              </w:rPr>
              <w:t>MCG link</w:t>
            </w:r>
            <w:r w:rsidR="00613B8D" w:rsidRPr="00613B8D">
              <w:rPr>
                <w:rFonts w:eastAsiaTheme="minorEastAsia"/>
                <w:lang w:eastAsia="zh-CN"/>
              </w:rPr>
              <w:t xml:space="preserve"> can be </w:t>
            </w:r>
            <w:r w:rsidR="00FE7E91">
              <w:rPr>
                <w:rFonts w:eastAsiaTheme="minorEastAsia" w:hint="eastAsia"/>
                <w:lang w:eastAsia="zh-CN"/>
              </w:rPr>
              <w:t>recovery as much as possible.</w:t>
            </w:r>
          </w:p>
        </w:tc>
      </w:tr>
      <w:tr w:rsidR="003712BB" w14:paraId="52DC0D2E" w14:textId="77777777" w:rsidTr="00FD3DC5">
        <w:trPr>
          <w:trHeight w:val="417"/>
        </w:trPr>
        <w:tc>
          <w:tcPr>
            <w:tcW w:w="1832" w:type="dxa"/>
          </w:tcPr>
          <w:p w14:paraId="0485BF20" w14:textId="774DBD97" w:rsidR="003712BB" w:rsidRDefault="00BC4F2B" w:rsidP="00FD3DC5">
            <w:r>
              <w:t>Samsung</w:t>
            </w:r>
          </w:p>
        </w:tc>
        <w:tc>
          <w:tcPr>
            <w:tcW w:w="7575" w:type="dxa"/>
          </w:tcPr>
          <w:p w14:paraId="7C6F4D0D" w14:textId="77777777" w:rsidR="00BC4F2B" w:rsidRDefault="00BC4F2B" w:rsidP="00BC4F2B">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54EBEE06" w14:textId="77777777" w:rsidR="00BC4F2B" w:rsidRPr="00576E46" w:rsidRDefault="00BC4F2B" w:rsidP="00BC4F2B">
            <w:pPr>
              <w:numPr>
                <w:ilvl w:val="0"/>
                <w:numId w:val="17"/>
              </w:numPr>
            </w:pPr>
            <w:r w:rsidRPr="00576E46">
              <w:t xml:space="preserve">Case a: SCG fails when the UE is undergoing fast MCG recovery (i.e. </w:t>
            </w:r>
            <w:r w:rsidRPr="00576E46">
              <w:lastRenderedPageBreak/>
              <w:t>SCG failure happens while T316 is running)</w:t>
            </w:r>
          </w:p>
          <w:p w14:paraId="7A173138" w14:textId="77777777" w:rsidR="00BC4F2B" w:rsidRPr="00576E46" w:rsidRDefault="00BC4F2B" w:rsidP="00BC4F2B">
            <w:pPr>
              <w:numPr>
                <w:ilvl w:val="0"/>
                <w:numId w:val="17"/>
              </w:numPr>
            </w:pPr>
            <w:r w:rsidRPr="00576E46">
              <w:t>Case f1: SCG fails or is deactivated yet before the UE sends the MCGFailureInformation</w:t>
            </w:r>
          </w:p>
          <w:p w14:paraId="66C837C3" w14:textId="77777777" w:rsidR="00BC4F2B" w:rsidRPr="00576E46" w:rsidRDefault="00BC4F2B" w:rsidP="00BC4F2B">
            <w:pPr>
              <w:numPr>
                <w:ilvl w:val="0"/>
                <w:numId w:val="17"/>
              </w:numPr>
            </w:pPr>
            <w:r w:rsidRPr="00576E46">
              <w:t>Case b: the signalling delay is longer than the time the UE waits for the response (T316 expired)</w:t>
            </w:r>
          </w:p>
          <w:p w14:paraId="2A102EF3" w14:textId="77777777" w:rsidR="00BC4F2B" w:rsidRDefault="00BC4F2B" w:rsidP="00BC4F2B">
            <w:r>
              <w:t xml:space="preserve">For simplicity, we suggest to include the </w:t>
            </w:r>
            <w:r w:rsidRPr="000F21E1">
              <w:t>indications to identify why MCG failure information procedure was not initiated</w:t>
            </w:r>
            <w:r>
              <w:t xml:space="preserve">, rather than the time information. </w:t>
            </w:r>
          </w:p>
          <w:p w14:paraId="49E5E47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137A67F3"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59F28A07"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48A6039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0F21E1">
              <w:rPr>
                <w:rFonts w:ascii="Calibri" w:hAnsi="Calibri" w:cs="Calibri"/>
                <w:color w:val="000000"/>
                <w:lang w:eastAsia="ko-KR"/>
              </w:rPr>
              <w:t>Indication to indicate if neither PSCell change nor PSCell addition is ongoing</w:t>
            </w:r>
          </w:p>
          <w:p w14:paraId="23E4718D"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576E46">
              <w:rPr>
                <w:rFonts w:ascii="Calibri" w:hAnsi="Calibri" w:cs="Calibri"/>
                <w:color w:val="000000"/>
                <w:lang w:eastAsia="ko-KR"/>
              </w:rPr>
              <w:t>Indication to indicate whether SRB2 and at least one DRB or multicast MRB setup</w:t>
            </w:r>
            <w:r>
              <w:rPr>
                <w:rFonts w:ascii="Calibri" w:hAnsi="Calibri" w:cs="Calibri"/>
                <w:color w:val="000000"/>
                <w:lang w:eastAsia="ko-KR"/>
              </w:rPr>
              <w:t>.</w:t>
            </w:r>
          </w:p>
          <w:p w14:paraId="0DE502D2" w14:textId="77777777" w:rsidR="00BC4F2B" w:rsidRDefault="00BC4F2B" w:rsidP="00BC4F2B">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 xml:space="preserve">log </w:t>
            </w:r>
            <w:r w:rsidRPr="00576E46">
              <w:rPr>
                <w:rFonts w:ascii="Calibri" w:hAnsi="Calibri" w:cs="Calibri"/>
                <w:color w:val="000000"/>
                <w:lang w:eastAsia="ko-KR"/>
              </w:rPr>
              <w:t>SCG was deactivated or other cases that SCG is not available”</w:t>
            </w:r>
            <w:r>
              <w:rPr>
                <w:rFonts w:ascii="Calibri" w:hAnsi="Calibri" w:cs="Calibri"/>
                <w:color w:val="000000"/>
                <w:lang w:eastAsia="ko-KR"/>
              </w:rPr>
              <w:t xml:space="preserve"> and RAN2 agreement “</w:t>
            </w:r>
            <w:r w:rsidRPr="008C0F5E">
              <w:t>Fast MCG recovery failure cause shall be included for</w:t>
            </w:r>
            <w:r>
              <w:t xml:space="preserve"> fast MCG recovery optimization”</w:t>
            </w:r>
            <w:r>
              <w:rPr>
                <w:rFonts w:ascii="Calibri" w:hAnsi="Calibri" w:cs="Calibri"/>
                <w:color w:val="000000"/>
                <w:lang w:eastAsia="ko-KR"/>
              </w:rPr>
              <w:t>).</w:t>
            </w:r>
          </w:p>
          <w:p w14:paraId="25A9E88A" w14:textId="77777777" w:rsidR="00BC4F2B" w:rsidRDefault="00BC4F2B" w:rsidP="00BC4F2B">
            <w:pPr>
              <w:wordWrap w:val="0"/>
              <w:spacing w:after="0"/>
              <w:rPr>
                <w:rFonts w:ascii="Calibri" w:hAnsi="Calibri" w:cs="Calibri"/>
                <w:color w:val="000000"/>
                <w:lang w:eastAsia="ko-KR"/>
              </w:rPr>
            </w:pPr>
          </w:p>
          <w:p w14:paraId="024ABD18" w14:textId="6D949958" w:rsidR="00BC4F2B" w:rsidRDefault="00BC4F2B" w:rsidP="00BC4F2B">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w:t>
            </w:r>
            <w:r>
              <w:t>nefits of reporting actual time</w:t>
            </w:r>
            <w:r>
              <w:t xml:space="preserve"> is questionable.</w:t>
            </w:r>
          </w:p>
          <w:p w14:paraId="0844F5B9" w14:textId="77777777" w:rsidR="00BC4F2B" w:rsidRPr="00576E46" w:rsidRDefault="00BC4F2B" w:rsidP="00BC4F2B">
            <w:pPr>
              <w:wordWrap w:val="0"/>
              <w:spacing w:after="0"/>
              <w:rPr>
                <w:rFonts w:ascii="Calibri" w:hAnsi="Calibri" w:cs="Calibri"/>
                <w:color w:val="000000"/>
                <w:lang w:eastAsia="ko-KR"/>
              </w:rPr>
            </w:pPr>
          </w:p>
          <w:p w14:paraId="58936FEF" w14:textId="77777777" w:rsidR="00BC4F2B" w:rsidRDefault="00BC4F2B" w:rsidP="00BC4F2B">
            <w:r>
              <w:t>Similarly SCG deactivation and MCG failure occurring together (case f1) is also a corner case. SCG deactivation is based normally on the amount of data in SCG bearers, and not coverage. Hence the indication is enough and time is not much helpful.</w:t>
            </w:r>
          </w:p>
          <w:p w14:paraId="1A01D1D8" w14:textId="2B39F75D" w:rsidR="003712BB" w:rsidRDefault="00BC4F2B" w:rsidP="00BC4F2B">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3712BB" w:rsidRPr="004D0D73" w14:paraId="3FBFCCDA" w14:textId="77777777" w:rsidTr="00FD3DC5">
        <w:trPr>
          <w:trHeight w:val="366"/>
        </w:trPr>
        <w:tc>
          <w:tcPr>
            <w:tcW w:w="1832" w:type="dxa"/>
          </w:tcPr>
          <w:p w14:paraId="5EF28303" w14:textId="77777777" w:rsidR="003712BB" w:rsidRPr="004D0D73" w:rsidRDefault="003712BB" w:rsidP="00FD3DC5">
            <w:pPr>
              <w:rPr>
                <w:rFonts w:eastAsia="SimSun"/>
                <w:lang w:eastAsia="zh-CN"/>
              </w:rPr>
            </w:pPr>
          </w:p>
        </w:tc>
        <w:tc>
          <w:tcPr>
            <w:tcW w:w="7575" w:type="dxa"/>
          </w:tcPr>
          <w:p w14:paraId="1898FA1C" w14:textId="77777777" w:rsidR="003712BB" w:rsidRPr="004D0D73" w:rsidRDefault="003712BB" w:rsidP="00FD3DC5">
            <w:pPr>
              <w:rPr>
                <w:rFonts w:eastAsia="SimSun"/>
                <w:lang w:eastAsia="zh-CN"/>
              </w:rPr>
            </w:pPr>
          </w:p>
        </w:tc>
      </w:tr>
    </w:tbl>
    <w:p w14:paraId="04D6147F" w14:textId="77777777" w:rsidR="00B120D6" w:rsidRDefault="00B120D6" w:rsidP="00B120D6">
      <w:pPr>
        <w:rPr>
          <w:rFonts w:eastAsiaTheme="minorEastAsia"/>
          <w:lang w:eastAsia="zh-CN"/>
        </w:rPr>
      </w:pPr>
      <w:bookmarkStart w:id="9" w:name="_Hlk138070593"/>
    </w:p>
    <w:p w14:paraId="51B07C65" w14:textId="7BB53CD5" w:rsidR="000A463D" w:rsidRPr="00EE17AD" w:rsidRDefault="000A463D" w:rsidP="000A463D">
      <w:pPr>
        <w:pStyle w:val="Heading2"/>
        <w:ind w:left="578" w:hanging="578"/>
        <w:jc w:val="both"/>
        <w:rPr>
          <w:rFonts w:eastAsia="DengXian"/>
          <w:color w:val="000000" w:themeColor="text1"/>
          <w:lang w:eastAsia="zh-CN"/>
        </w:rPr>
      </w:pPr>
      <w:r w:rsidRPr="00EE17AD">
        <w:rPr>
          <w:rFonts w:eastAsia="DengXian"/>
          <w:color w:val="000000" w:themeColor="text1"/>
          <w:lang w:eastAsia="zh-CN"/>
        </w:rPr>
        <w:t xml:space="preserve">In which report to capture </w:t>
      </w:r>
      <w:r>
        <w:rPr>
          <w:rFonts w:eastAsia="DengXian"/>
          <w:color w:val="000000" w:themeColor="text1"/>
          <w:lang w:eastAsia="zh-CN"/>
        </w:rPr>
        <w:t>fast MCG recovery related</w:t>
      </w:r>
      <w:r w:rsidRPr="00EE17AD">
        <w:rPr>
          <w:rFonts w:eastAsia="DengXian"/>
          <w:color w:val="000000" w:themeColor="text1"/>
          <w:lang w:eastAsia="zh-CN"/>
        </w:rPr>
        <w:t xml:space="preserve"> </w:t>
      </w:r>
      <w:r>
        <w:rPr>
          <w:rFonts w:eastAsia="DengXian"/>
          <w:color w:val="000000" w:themeColor="text1"/>
          <w:lang w:eastAsia="zh-CN"/>
        </w:rPr>
        <w:t>information</w:t>
      </w:r>
      <w:r w:rsidRPr="00EE17AD">
        <w:rPr>
          <w:rFonts w:eastAsia="DengXian"/>
          <w:color w:val="000000" w:themeColor="text1"/>
          <w:lang w:eastAsia="zh-CN"/>
        </w:rPr>
        <w:t xml:space="preserve"> </w:t>
      </w:r>
    </w:p>
    <w:p w14:paraId="7AA117BD" w14:textId="2B3418AF" w:rsidR="000A463D" w:rsidRPr="00EE17AD" w:rsidRDefault="000A463D" w:rsidP="000A463D">
      <w:pPr>
        <w:rPr>
          <w:color w:val="000000" w:themeColor="text1"/>
          <w:lang w:eastAsia="zh-CN"/>
        </w:rPr>
      </w:pPr>
      <w:r>
        <w:rPr>
          <w:color w:val="000000" w:themeColor="text1"/>
          <w:lang w:eastAsia="zh-CN"/>
        </w:rPr>
        <w:t>As for</w:t>
      </w:r>
      <w:r w:rsidRPr="00EE17AD">
        <w:rPr>
          <w:color w:val="000000" w:themeColor="text1"/>
          <w:lang w:eastAsia="zh-CN"/>
        </w:rPr>
        <w:t xml:space="preserve"> </w:t>
      </w:r>
      <w:r>
        <w:rPr>
          <w:color w:val="000000" w:themeColor="text1"/>
          <w:lang w:eastAsia="zh-CN"/>
        </w:rPr>
        <w:t xml:space="preserve">in </w:t>
      </w:r>
      <w:r w:rsidRPr="00EE17AD">
        <w:rPr>
          <w:color w:val="000000" w:themeColor="text1"/>
          <w:lang w:eastAsia="zh-CN"/>
        </w:rPr>
        <w:t xml:space="preserve">which report </w:t>
      </w:r>
      <w:r>
        <w:rPr>
          <w:color w:val="000000" w:themeColor="text1"/>
          <w:lang w:eastAsia="zh-CN"/>
        </w:rPr>
        <w:t xml:space="preserve">to </w:t>
      </w:r>
      <w:r w:rsidRPr="00EE17AD">
        <w:rPr>
          <w:rFonts w:eastAsia="DengXian"/>
          <w:color w:val="000000" w:themeColor="text1"/>
          <w:lang w:eastAsia="zh-CN"/>
        </w:rPr>
        <w:t xml:space="preserve">capture </w:t>
      </w:r>
      <w:r>
        <w:rPr>
          <w:rFonts w:eastAsia="DengXian"/>
          <w:color w:val="000000" w:themeColor="text1"/>
          <w:lang w:eastAsia="zh-CN"/>
        </w:rPr>
        <w:t>fast MCG recovery related information</w:t>
      </w:r>
      <w:r w:rsidRPr="00EE17AD">
        <w:rPr>
          <w:color w:val="000000" w:themeColor="text1"/>
          <w:lang w:eastAsia="zh-CN"/>
        </w:rPr>
        <w:t>, we would like to ask the following question.</w:t>
      </w:r>
    </w:p>
    <w:p w14:paraId="1118A0D4" w14:textId="098D9B33" w:rsidR="000A463D" w:rsidRPr="00EE17AD" w:rsidRDefault="000A463D" w:rsidP="000A463D">
      <w:pPr>
        <w:rPr>
          <w:b/>
          <w:bCs/>
          <w:color w:val="000000" w:themeColor="text1"/>
          <w:lang w:eastAsia="zh-CN"/>
        </w:rPr>
      </w:pPr>
      <w:r w:rsidRPr="00EE17AD">
        <w:rPr>
          <w:b/>
          <w:bCs/>
          <w:color w:val="000000" w:themeColor="text1"/>
          <w:lang w:eastAsia="zh-CN"/>
        </w:rPr>
        <w:t xml:space="preserve">Question </w:t>
      </w:r>
      <w:r>
        <w:rPr>
          <w:b/>
          <w:bCs/>
          <w:color w:val="000000" w:themeColor="text1"/>
          <w:lang w:eastAsia="zh-CN"/>
        </w:rPr>
        <w:t>4</w:t>
      </w:r>
      <w:r w:rsidRPr="00EE17AD">
        <w:rPr>
          <w:b/>
          <w:bCs/>
          <w:color w:val="000000" w:themeColor="text1"/>
          <w:lang w:eastAsia="zh-CN"/>
        </w:rPr>
        <w:t>: Companies are invited to provide their view on which report to be used for supporting data collection for</w:t>
      </w:r>
      <w:r>
        <w:rPr>
          <w:b/>
          <w:bCs/>
          <w:color w:val="000000" w:themeColor="text1"/>
          <w:lang w:eastAsia="zh-CN"/>
        </w:rPr>
        <w:t xml:space="preserve"> above information</w:t>
      </w:r>
      <w:r w:rsidRPr="00EE17AD">
        <w:rPr>
          <w:b/>
          <w:bCs/>
          <w:color w:val="000000" w:themeColor="text1"/>
          <w:lang w:eastAsia="zh-CN"/>
        </w:rPr>
        <w:t>.</w:t>
      </w:r>
    </w:p>
    <w:p w14:paraId="78DE9F88"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Existing RLF report</w:t>
      </w:r>
    </w:p>
    <w:p w14:paraId="0F9B1F4B"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SHR</w:t>
      </w:r>
    </w:p>
    <w:p w14:paraId="4D0C2F86"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282"/>
        <w:gridCol w:w="5670"/>
      </w:tblGrid>
      <w:tr w:rsidR="000A463D" w:rsidRPr="00EE17AD" w14:paraId="288ADB12" w14:textId="77777777" w:rsidTr="000B511B">
        <w:trPr>
          <w:trHeight w:val="260"/>
        </w:trPr>
        <w:tc>
          <w:tcPr>
            <w:tcW w:w="1832" w:type="dxa"/>
          </w:tcPr>
          <w:p w14:paraId="6788191E"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Company</w:t>
            </w:r>
          </w:p>
        </w:tc>
        <w:tc>
          <w:tcPr>
            <w:tcW w:w="1282" w:type="dxa"/>
          </w:tcPr>
          <w:p w14:paraId="6B389440"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(A/B/C)</w:t>
            </w:r>
          </w:p>
        </w:tc>
        <w:tc>
          <w:tcPr>
            <w:tcW w:w="5670" w:type="dxa"/>
          </w:tcPr>
          <w:p w14:paraId="749C3ADB"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Comments</w:t>
            </w:r>
          </w:p>
        </w:tc>
      </w:tr>
      <w:tr w:rsidR="000A463D" w:rsidRPr="00EE17AD" w14:paraId="3FAC2F1D" w14:textId="77777777" w:rsidTr="000B511B">
        <w:trPr>
          <w:trHeight w:val="417"/>
        </w:trPr>
        <w:tc>
          <w:tcPr>
            <w:tcW w:w="1832" w:type="dxa"/>
          </w:tcPr>
          <w:p w14:paraId="72031096" w14:textId="15F9773D"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lastRenderedPageBreak/>
              <w:t>C</w:t>
            </w:r>
            <w:r>
              <w:rPr>
                <w:rFonts w:eastAsia="SimSun"/>
                <w:color w:val="000000" w:themeColor="text1"/>
                <w:sz w:val="20"/>
                <w:szCs w:val="21"/>
                <w:lang w:eastAsia="zh-CN"/>
              </w:rPr>
              <w:t>MCC</w:t>
            </w:r>
          </w:p>
        </w:tc>
        <w:tc>
          <w:tcPr>
            <w:tcW w:w="1282" w:type="dxa"/>
          </w:tcPr>
          <w:p w14:paraId="7AA03C88" w14:textId="0236F506"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A</w:t>
            </w:r>
          </w:p>
        </w:tc>
        <w:tc>
          <w:tcPr>
            <w:tcW w:w="5670" w:type="dxa"/>
          </w:tcPr>
          <w:p w14:paraId="703F18ED" w14:textId="75966384" w:rsidR="000A463D" w:rsidRPr="000A463D" w:rsidRDefault="000A463D" w:rsidP="000B511B">
            <w:pPr>
              <w:rPr>
                <w:rFonts w:eastAsia="SimSun"/>
                <w:lang w:eastAsia="zh-CN"/>
              </w:rPr>
            </w:pPr>
            <w:r w:rsidRPr="000A463D">
              <w:rPr>
                <w:rFonts w:eastAsia="SimSun"/>
                <w:lang w:eastAsia="zh-CN"/>
              </w:rPr>
              <w:t>Since the UE will generate an RLF report when MCG failure occurs, it is straightforward to reuse it to collect fast MCG recovery related information.</w:t>
            </w:r>
          </w:p>
        </w:tc>
      </w:tr>
      <w:tr w:rsidR="000A463D" w:rsidRPr="00EE17AD" w14:paraId="450CC3D2" w14:textId="77777777" w:rsidTr="000B511B">
        <w:trPr>
          <w:trHeight w:val="417"/>
        </w:trPr>
        <w:tc>
          <w:tcPr>
            <w:tcW w:w="1832" w:type="dxa"/>
          </w:tcPr>
          <w:p w14:paraId="4B983E7B" w14:textId="7DDE48C0" w:rsidR="000A463D"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D7521E9" w14:textId="77777777" w:rsidR="000A463D"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2AA1D172" w14:textId="3D0B6525" w:rsidR="00716B69"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1CECD74F" w14:textId="6448D27E" w:rsidR="000A463D" w:rsidRPr="004A25C3" w:rsidRDefault="004A25C3"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RLF report is appropriate to include all the real failure scenario(s)</w:t>
            </w:r>
            <w:r w:rsidR="00524E3B">
              <w:rPr>
                <w:rFonts w:eastAsiaTheme="minorEastAsia" w:hint="eastAsia"/>
                <w:color w:val="000000" w:themeColor="text1"/>
                <w:sz w:val="20"/>
                <w:szCs w:val="21"/>
                <w:lang w:eastAsia="zh-CN"/>
              </w:rPr>
              <w:t xml:space="preserve">, but we think the near failure case (case c) can reuse the SHR mechanism since the </w:t>
            </w:r>
            <w:r w:rsidR="00524E3B">
              <w:rPr>
                <w:rFonts w:eastAsiaTheme="minorEastAsia"/>
                <w:color w:val="000000" w:themeColor="text1"/>
                <w:sz w:val="20"/>
                <w:szCs w:val="21"/>
                <w:lang w:eastAsia="zh-CN"/>
              </w:rPr>
              <w:t>triggering</w:t>
            </w:r>
            <w:r w:rsidR="00524E3B">
              <w:rPr>
                <w:rFonts w:eastAsiaTheme="minorEastAsia" w:hint="eastAsia"/>
                <w:color w:val="000000" w:themeColor="text1"/>
                <w:sz w:val="20"/>
                <w:szCs w:val="21"/>
                <w:lang w:eastAsia="zh-CN"/>
              </w:rPr>
              <w:t xml:space="preserve"> threshold should be configured by </w:t>
            </w:r>
            <w:r w:rsidR="002C58A8">
              <w:rPr>
                <w:rFonts w:eastAsiaTheme="minorEastAsia" w:hint="eastAsia"/>
                <w:color w:val="000000" w:themeColor="text1"/>
                <w:sz w:val="20"/>
                <w:szCs w:val="21"/>
                <w:lang w:eastAsia="zh-CN"/>
              </w:rPr>
              <w:t xml:space="preserve">the </w:t>
            </w:r>
            <w:r w:rsidR="00524E3B">
              <w:rPr>
                <w:rFonts w:eastAsiaTheme="minorEastAsia" w:hint="eastAsia"/>
                <w:color w:val="000000" w:themeColor="text1"/>
                <w:sz w:val="20"/>
                <w:szCs w:val="21"/>
                <w:lang w:eastAsia="zh-CN"/>
              </w:rPr>
              <w:t>NW.</w:t>
            </w:r>
          </w:p>
        </w:tc>
      </w:tr>
      <w:tr w:rsidR="00AB29E1" w:rsidRPr="00EE17AD" w14:paraId="2134595C" w14:textId="77777777" w:rsidTr="000B511B">
        <w:trPr>
          <w:trHeight w:val="417"/>
        </w:trPr>
        <w:tc>
          <w:tcPr>
            <w:tcW w:w="1832" w:type="dxa"/>
          </w:tcPr>
          <w:p w14:paraId="15C12C21" w14:textId="21EBC2F4" w:rsidR="00AB29E1" w:rsidRPr="00EE17AD" w:rsidRDefault="00AB29E1" w:rsidP="00AB29E1">
            <w:pPr>
              <w:rPr>
                <w:color w:val="000000" w:themeColor="text1"/>
                <w:sz w:val="20"/>
                <w:szCs w:val="21"/>
              </w:rPr>
            </w:pPr>
            <w:bookmarkStart w:id="10" w:name="_GoBack" w:colFirst="0" w:colLast="0"/>
            <w:r>
              <w:rPr>
                <w:color w:val="000000" w:themeColor="text1"/>
                <w:sz w:val="20"/>
                <w:szCs w:val="21"/>
              </w:rPr>
              <w:t>Samsung</w:t>
            </w:r>
          </w:p>
        </w:tc>
        <w:tc>
          <w:tcPr>
            <w:tcW w:w="1282" w:type="dxa"/>
          </w:tcPr>
          <w:p w14:paraId="2EC6A37D" w14:textId="6CA2DCC2" w:rsidR="00AB29E1" w:rsidRPr="00EE17AD" w:rsidRDefault="00AB29E1" w:rsidP="00AB29E1">
            <w:pPr>
              <w:rPr>
                <w:color w:val="000000" w:themeColor="text1"/>
                <w:sz w:val="20"/>
                <w:szCs w:val="21"/>
              </w:rPr>
            </w:pPr>
            <w:r>
              <w:rPr>
                <w:color w:val="000000" w:themeColor="text1"/>
                <w:sz w:val="20"/>
                <w:szCs w:val="21"/>
              </w:rPr>
              <w:t>A</w:t>
            </w:r>
          </w:p>
        </w:tc>
        <w:tc>
          <w:tcPr>
            <w:tcW w:w="5670" w:type="dxa"/>
          </w:tcPr>
          <w:p w14:paraId="3EFC01AD" w14:textId="77777777" w:rsidR="00AB29E1" w:rsidRDefault="00AB29E1" w:rsidP="00AB29E1">
            <w:pPr>
              <w:rPr>
                <w:color w:val="000000" w:themeColor="text1"/>
                <w:sz w:val="20"/>
                <w:szCs w:val="21"/>
              </w:rPr>
            </w:pPr>
            <w:r>
              <w:rPr>
                <w:color w:val="000000" w:themeColor="text1"/>
                <w:sz w:val="20"/>
                <w:szCs w:val="21"/>
              </w:rPr>
              <w:t xml:space="preserve">Agree with CMCC. </w:t>
            </w:r>
          </w:p>
          <w:p w14:paraId="64D925C8" w14:textId="77777777" w:rsidR="00AB29E1" w:rsidRDefault="00AB29E1" w:rsidP="00AB29E1">
            <w:pPr>
              <w:rPr>
                <w:color w:val="000000" w:themeColor="text1"/>
                <w:sz w:val="20"/>
                <w:szCs w:val="21"/>
              </w:rPr>
            </w:pPr>
            <w:r>
              <w:rPr>
                <w:color w:val="000000" w:themeColor="text1"/>
                <w:sz w:val="20"/>
                <w:szCs w:val="21"/>
              </w:rPr>
              <w:t xml:space="preserve">We already agreed that </w:t>
            </w:r>
            <w:r w:rsidRPr="0050237E">
              <w:rPr>
                <w:color w:val="000000" w:themeColor="text1"/>
                <w:sz w:val="20"/>
                <w:szCs w:val="21"/>
              </w:rPr>
              <w:t>RLF report is enhanced to support fast MCG recovery MRO</w:t>
            </w:r>
            <w:r>
              <w:rPr>
                <w:color w:val="000000" w:themeColor="text1"/>
                <w:sz w:val="20"/>
                <w:szCs w:val="21"/>
              </w:rPr>
              <w:t xml:space="preserve"> in RAN2#120</w:t>
            </w:r>
            <w:r w:rsidRPr="0050237E">
              <w:rPr>
                <w:color w:val="000000" w:themeColor="text1"/>
                <w:sz w:val="20"/>
                <w:szCs w:val="21"/>
              </w:rPr>
              <w:t>.</w:t>
            </w:r>
          </w:p>
          <w:p w14:paraId="157AC06A" w14:textId="798B64FC" w:rsidR="00AB29E1" w:rsidRPr="00EE17AD" w:rsidRDefault="00AB29E1" w:rsidP="00AB29E1">
            <w:pPr>
              <w:rPr>
                <w:color w:val="000000" w:themeColor="text1"/>
                <w:sz w:val="20"/>
                <w:szCs w:val="21"/>
              </w:rPr>
            </w:pPr>
            <w:r w:rsidRPr="008C0F5E">
              <w:tab/>
            </w:r>
          </w:p>
        </w:tc>
      </w:tr>
      <w:bookmarkEnd w:id="10"/>
      <w:tr w:rsidR="00AB29E1" w:rsidRPr="00EE17AD" w14:paraId="527280C7" w14:textId="77777777" w:rsidTr="000B511B">
        <w:trPr>
          <w:trHeight w:val="60"/>
        </w:trPr>
        <w:tc>
          <w:tcPr>
            <w:tcW w:w="1832" w:type="dxa"/>
          </w:tcPr>
          <w:p w14:paraId="7054D065" w14:textId="77777777" w:rsidR="00AB29E1" w:rsidRPr="00EE17AD" w:rsidRDefault="00AB29E1" w:rsidP="00AB29E1">
            <w:pPr>
              <w:rPr>
                <w:rFonts w:eastAsia="SimSun"/>
                <w:color w:val="000000" w:themeColor="text1"/>
                <w:sz w:val="20"/>
                <w:szCs w:val="21"/>
                <w:lang w:eastAsia="zh-CN"/>
              </w:rPr>
            </w:pPr>
          </w:p>
        </w:tc>
        <w:tc>
          <w:tcPr>
            <w:tcW w:w="1282" w:type="dxa"/>
          </w:tcPr>
          <w:p w14:paraId="00CBB8D1" w14:textId="77777777" w:rsidR="00AB29E1" w:rsidRPr="00EE17AD" w:rsidRDefault="00AB29E1" w:rsidP="00AB29E1">
            <w:pPr>
              <w:rPr>
                <w:rFonts w:eastAsia="SimSun"/>
                <w:color w:val="000000" w:themeColor="text1"/>
                <w:sz w:val="20"/>
                <w:szCs w:val="21"/>
                <w:lang w:eastAsia="zh-CN"/>
              </w:rPr>
            </w:pPr>
          </w:p>
        </w:tc>
        <w:tc>
          <w:tcPr>
            <w:tcW w:w="5670" w:type="dxa"/>
          </w:tcPr>
          <w:p w14:paraId="227DE2CC" w14:textId="77777777" w:rsidR="00AB29E1" w:rsidRPr="00EE17AD" w:rsidRDefault="00AB29E1" w:rsidP="00AB29E1">
            <w:pPr>
              <w:rPr>
                <w:rFonts w:eastAsia="SimSun"/>
                <w:color w:val="000000" w:themeColor="text1"/>
                <w:sz w:val="20"/>
                <w:szCs w:val="21"/>
                <w:lang w:eastAsia="zh-CN"/>
              </w:rPr>
            </w:pPr>
          </w:p>
        </w:tc>
      </w:tr>
    </w:tbl>
    <w:p w14:paraId="0DC34161" w14:textId="77777777" w:rsidR="000A463D" w:rsidRPr="000A463D" w:rsidRDefault="000A463D" w:rsidP="000A463D">
      <w:pPr>
        <w:spacing w:line="360" w:lineRule="auto"/>
        <w:jc w:val="both"/>
        <w:rPr>
          <w:sz w:val="20"/>
          <w:szCs w:val="21"/>
        </w:rPr>
      </w:pPr>
    </w:p>
    <w:p w14:paraId="51DACB27" w14:textId="77777777" w:rsidR="000A463D" w:rsidRPr="00B120D6" w:rsidRDefault="000A463D" w:rsidP="00B120D6">
      <w:pPr>
        <w:rPr>
          <w:rFonts w:eastAsiaTheme="minorEastAsia"/>
          <w:lang w:eastAsia="zh-CN"/>
        </w:rPr>
      </w:pPr>
    </w:p>
    <w:bookmarkEnd w:id="7"/>
    <w:bookmarkEnd w:id="9"/>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75CABF98" w:rsidR="00B120D6" w:rsidRDefault="00FC7F6A" w:rsidP="00E00E11">
      <w:pPr>
        <w:numPr>
          <w:ilvl w:val="0"/>
          <w:numId w:val="2"/>
        </w:numPr>
        <w:rPr>
          <w:sz w:val="20"/>
          <w:szCs w:val="21"/>
          <w:lang w:val="en-GB"/>
        </w:rPr>
      </w:pPr>
      <w:r w:rsidRPr="00FC7F6A">
        <w:rPr>
          <w:sz w:val="20"/>
          <w:szCs w:val="21"/>
          <w:lang w:val="en-GB"/>
        </w:rPr>
        <w:t>R2-2305779</w:t>
      </w:r>
      <w:r w:rsidR="00B057DC">
        <w:rPr>
          <w:sz w:val="20"/>
          <w:szCs w:val="21"/>
          <w:lang w:val="en-GB"/>
        </w:rPr>
        <w:t>,</w:t>
      </w:r>
      <w:r w:rsidR="00E00E11" w:rsidRPr="00422A62">
        <w:rPr>
          <w:sz w:val="20"/>
          <w:szCs w:val="21"/>
          <w:lang w:val="en-GB"/>
        </w:rPr>
        <w:t xml:space="preserve"> </w:t>
      </w:r>
      <w:r w:rsidRPr="00FC7F6A">
        <w:rPr>
          <w:sz w:val="20"/>
          <w:szCs w:val="20"/>
          <w:lang w:eastAsia="zh-CN"/>
        </w:rPr>
        <w:t>Further considerations on fast MCG recovery</w:t>
      </w:r>
      <w:r w:rsidR="00E00E11" w:rsidRPr="00422A62">
        <w:rPr>
          <w:sz w:val="20"/>
          <w:szCs w:val="21"/>
          <w:lang w:val="en-GB"/>
        </w:rPr>
        <w:t xml:space="preserve">, </w:t>
      </w:r>
      <w:r>
        <w:rPr>
          <w:sz w:val="20"/>
          <w:szCs w:val="21"/>
          <w:lang w:val="en-GB"/>
        </w:rPr>
        <w:t>CMCC</w:t>
      </w:r>
    </w:p>
    <w:sectPr w:rsidR="00B120D6" w:rsidSect="004751AB">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D2DB8" w14:textId="77777777" w:rsidR="005057AD" w:rsidRDefault="005057AD" w:rsidP="00E16FB9">
      <w:pPr>
        <w:spacing w:after="0"/>
      </w:pPr>
      <w:r>
        <w:separator/>
      </w:r>
    </w:p>
  </w:endnote>
  <w:endnote w:type="continuationSeparator" w:id="0">
    <w:p w14:paraId="2FB92E77" w14:textId="77777777" w:rsidR="005057AD" w:rsidRDefault="005057AD"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42EE" w14:textId="77777777" w:rsidR="005057AD" w:rsidRDefault="005057AD" w:rsidP="00E16FB9">
      <w:pPr>
        <w:spacing w:after="0"/>
      </w:pPr>
      <w:r>
        <w:separator/>
      </w:r>
    </w:p>
  </w:footnote>
  <w:footnote w:type="continuationSeparator" w:id="0">
    <w:p w14:paraId="2F3B6A2E" w14:textId="77777777" w:rsidR="005057AD" w:rsidRDefault="005057AD"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25B5E"/>
    <w:multiLevelType w:val="hybridMultilevel"/>
    <w:tmpl w:val="C8C8338E"/>
    <w:lvl w:ilvl="0" w:tplc="AE14B6D8">
      <w:start w:val="1"/>
      <w:numFmt w:val="bullet"/>
      <w:lvlText w:val="‒"/>
      <w:lvlJc w:val="left"/>
      <w:pPr>
        <w:ind w:left="800" w:hanging="400"/>
      </w:pPr>
      <w:rPr>
        <w:rFonts w:ascii="Yu Gothic UI" w:eastAsia="Yu Gothic UI" w:hAnsi="Yu Gothic U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0"/>
  </w:num>
  <w:num w:numId="5">
    <w:abstractNumId w:val="15"/>
  </w:num>
  <w:num w:numId="6">
    <w:abstractNumId w:val="2"/>
  </w:num>
  <w:num w:numId="7">
    <w:abstractNumId w:val="11"/>
  </w:num>
  <w:num w:numId="8">
    <w:abstractNumId w:val="9"/>
  </w:num>
  <w:num w:numId="9">
    <w:abstractNumId w:val="16"/>
  </w:num>
  <w:num w:numId="10">
    <w:abstractNumId w:val="4"/>
  </w:num>
  <w:num w:numId="11">
    <w:abstractNumId w:val="6"/>
  </w:num>
  <w:num w:numId="12">
    <w:abstractNumId w:val="14"/>
  </w:num>
  <w:num w:numId="13">
    <w:abstractNumId w:val="17"/>
  </w:num>
  <w:num w:numId="14">
    <w:abstractNumId w:val="12"/>
  </w:num>
  <w:num w:numId="15">
    <w:abstractNumId w:val="1"/>
  </w:num>
  <w:num w:numId="16">
    <w:abstractNumId w:val="5"/>
  </w:num>
  <w:num w:numId="17">
    <w:abstractNumId w:val="7"/>
  </w:num>
  <w:num w:numId="18">
    <w:abstractNumId w:val="1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03B3"/>
    <w:rsid w:val="00003689"/>
    <w:rsid w:val="000076D3"/>
    <w:rsid w:val="000212B1"/>
    <w:rsid w:val="00023611"/>
    <w:rsid w:val="00030B52"/>
    <w:rsid w:val="00037F9F"/>
    <w:rsid w:val="00040044"/>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3B76"/>
    <w:rsid w:val="00103FD0"/>
    <w:rsid w:val="00120F8D"/>
    <w:rsid w:val="00120FB8"/>
    <w:rsid w:val="0012472D"/>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765C2"/>
    <w:rsid w:val="001824D7"/>
    <w:rsid w:val="001863A9"/>
    <w:rsid w:val="001920C1"/>
    <w:rsid w:val="001A2D65"/>
    <w:rsid w:val="001A64BB"/>
    <w:rsid w:val="001B4B59"/>
    <w:rsid w:val="001B6A30"/>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319BB"/>
    <w:rsid w:val="00234CC9"/>
    <w:rsid w:val="00234F15"/>
    <w:rsid w:val="00245A55"/>
    <w:rsid w:val="00247537"/>
    <w:rsid w:val="0024768E"/>
    <w:rsid w:val="00250B34"/>
    <w:rsid w:val="0025178C"/>
    <w:rsid w:val="00252C1C"/>
    <w:rsid w:val="0025321D"/>
    <w:rsid w:val="00254977"/>
    <w:rsid w:val="002560BB"/>
    <w:rsid w:val="00260842"/>
    <w:rsid w:val="00276544"/>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D1BEC"/>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7420"/>
    <w:rsid w:val="00363EBD"/>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68EE"/>
    <w:rsid w:val="003F24AD"/>
    <w:rsid w:val="003F6A53"/>
    <w:rsid w:val="003F733F"/>
    <w:rsid w:val="003F7A3A"/>
    <w:rsid w:val="004012BB"/>
    <w:rsid w:val="00410E8D"/>
    <w:rsid w:val="00412F5D"/>
    <w:rsid w:val="0041718F"/>
    <w:rsid w:val="0042082E"/>
    <w:rsid w:val="00421E5F"/>
    <w:rsid w:val="00422A62"/>
    <w:rsid w:val="004268C1"/>
    <w:rsid w:val="00426A2F"/>
    <w:rsid w:val="00434680"/>
    <w:rsid w:val="00443007"/>
    <w:rsid w:val="00464C92"/>
    <w:rsid w:val="00472426"/>
    <w:rsid w:val="004751AB"/>
    <w:rsid w:val="004769BB"/>
    <w:rsid w:val="00481C6D"/>
    <w:rsid w:val="00483658"/>
    <w:rsid w:val="00487384"/>
    <w:rsid w:val="004901C7"/>
    <w:rsid w:val="00492325"/>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6128"/>
    <w:rsid w:val="00556425"/>
    <w:rsid w:val="00560982"/>
    <w:rsid w:val="00567431"/>
    <w:rsid w:val="00571209"/>
    <w:rsid w:val="005718FC"/>
    <w:rsid w:val="005733EF"/>
    <w:rsid w:val="00577B02"/>
    <w:rsid w:val="005808FD"/>
    <w:rsid w:val="005809F6"/>
    <w:rsid w:val="00582415"/>
    <w:rsid w:val="00585A8F"/>
    <w:rsid w:val="00587BFF"/>
    <w:rsid w:val="0059548B"/>
    <w:rsid w:val="005A24DA"/>
    <w:rsid w:val="005A5861"/>
    <w:rsid w:val="005B43FF"/>
    <w:rsid w:val="005B524B"/>
    <w:rsid w:val="005C43AF"/>
    <w:rsid w:val="005D036D"/>
    <w:rsid w:val="005D2DBA"/>
    <w:rsid w:val="005D7A30"/>
    <w:rsid w:val="005D7AEF"/>
    <w:rsid w:val="005E38A5"/>
    <w:rsid w:val="005E59B3"/>
    <w:rsid w:val="005F085F"/>
    <w:rsid w:val="005F4AFC"/>
    <w:rsid w:val="005F50CF"/>
    <w:rsid w:val="00601EA7"/>
    <w:rsid w:val="006040BD"/>
    <w:rsid w:val="00604823"/>
    <w:rsid w:val="00613B8D"/>
    <w:rsid w:val="00614ED3"/>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6465"/>
    <w:rsid w:val="006936B6"/>
    <w:rsid w:val="0069404A"/>
    <w:rsid w:val="00696311"/>
    <w:rsid w:val="0069788A"/>
    <w:rsid w:val="006A3A54"/>
    <w:rsid w:val="006A4F20"/>
    <w:rsid w:val="006B3F0B"/>
    <w:rsid w:val="006B5929"/>
    <w:rsid w:val="006C3756"/>
    <w:rsid w:val="006D1688"/>
    <w:rsid w:val="006D1CC4"/>
    <w:rsid w:val="006D2AB1"/>
    <w:rsid w:val="006D3BF7"/>
    <w:rsid w:val="006D4F50"/>
    <w:rsid w:val="006D774A"/>
    <w:rsid w:val="006E2E44"/>
    <w:rsid w:val="006E48D6"/>
    <w:rsid w:val="006F04ED"/>
    <w:rsid w:val="006F13AA"/>
    <w:rsid w:val="006F475D"/>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61D18"/>
    <w:rsid w:val="007646D4"/>
    <w:rsid w:val="00764E8F"/>
    <w:rsid w:val="007809DE"/>
    <w:rsid w:val="00783079"/>
    <w:rsid w:val="007871A4"/>
    <w:rsid w:val="00791784"/>
    <w:rsid w:val="007943BC"/>
    <w:rsid w:val="00794CAB"/>
    <w:rsid w:val="00796531"/>
    <w:rsid w:val="007A0BC4"/>
    <w:rsid w:val="007A1EF3"/>
    <w:rsid w:val="007A5FF7"/>
    <w:rsid w:val="007A6B0E"/>
    <w:rsid w:val="007B458B"/>
    <w:rsid w:val="007C0300"/>
    <w:rsid w:val="007C0865"/>
    <w:rsid w:val="007C08D4"/>
    <w:rsid w:val="007C2F8E"/>
    <w:rsid w:val="007C5560"/>
    <w:rsid w:val="007D0F11"/>
    <w:rsid w:val="007D32AF"/>
    <w:rsid w:val="007D6512"/>
    <w:rsid w:val="007D7926"/>
    <w:rsid w:val="007F0807"/>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43325"/>
    <w:rsid w:val="00843AEB"/>
    <w:rsid w:val="00844166"/>
    <w:rsid w:val="0084471C"/>
    <w:rsid w:val="00853CC0"/>
    <w:rsid w:val="00854AD0"/>
    <w:rsid w:val="008554A1"/>
    <w:rsid w:val="0086268D"/>
    <w:rsid w:val="008641BF"/>
    <w:rsid w:val="00865F4A"/>
    <w:rsid w:val="00866116"/>
    <w:rsid w:val="00871B8C"/>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6F37"/>
    <w:rsid w:val="00915DFF"/>
    <w:rsid w:val="00922BAC"/>
    <w:rsid w:val="0092632B"/>
    <w:rsid w:val="0093064C"/>
    <w:rsid w:val="00930EE4"/>
    <w:rsid w:val="00933FC9"/>
    <w:rsid w:val="009367C7"/>
    <w:rsid w:val="009416FE"/>
    <w:rsid w:val="00942214"/>
    <w:rsid w:val="009422BE"/>
    <w:rsid w:val="00942BDA"/>
    <w:rsid w:val="009432FC"/>
    <w:rsid w:val="00946939"/>
    <w:rsid w:val="00952731"/>
    <w:rsid w:val="00955150"/>
    <w:rsid w:val="00955CF1"/>
    <w:rsid w:val="0097024D"/>
    <w:rsid w:val="0097382B"/>
    <w:rsid w:val="009738B3"/>
    <w:rsid w:val="00977676"/>
    <w:rsid w:val="00981CB7"/>
    <w:rsid w:val="00984DEE"/>
    <w:rsid w:val="00984F71"/>
    <w:rsid w:val="009854EC"/>
    <w:rsid w:val="00991A96"/>
    <w:rsid w:val="00993E95"/>
    <w:rsid w:val="009A1130"/>
    <w:rsid w:val="009A143D"/>
    <w:rsid w:val="009A2617"/>
    <w:rsid w:val="009A377E"/>
    <w:rsid w:val="009A38C3"/>
    <w:rsid w:val="009A46B0"/>
    <w:rsid w:val="009A6562"/>
    <w:rsid w:val="009A7AFE"/>
    <w:rsid w:val="009B05D4"/>
    <w:rsid w:val="009B0B09"/>
    <w:rsid w:val="009B3F33"/>
    <w:rsid w:val="009C0295"/>
    <w:rsid w:val="009C1E37"/>
    <w:rsid w:val="009C4D69"/>
    <w:rsid w:val="009D0052"/>
    <w:rsid w:val="009D3180"/>
    <w:rsid w:val="009D3572"/>
    <w:rsid w:val="009D7DBF"/>
    <w:rsid w:val="009E1EBC"/>
    <w:rsid w:val="009E2C65"/>
    <w:rsid w:val="009E4772"/>
    <w:rsid w:val="009F3EE5"/>
    <w:rsid w:val="009F523A"/>
    <w:rsid w:val="009F55FB"/>
    <w:rsid w:val="009F6E28"/>
    <w:rsid w:val="00A00538"/>
    <w:rsid w:val="00A0087B"/>
    <w:rsid w:val="00A01CFB"/>
    <w:rsid w:val="00A06D3F"/>
    <w:rsid w:val="00A11976"/>
    <w:rsid w:val="00A12659"/>
    <w:rsid w:val="00A26A12"/>
    <w:rsid w:val="00A328A6"/>
    <w:rsid w:val="00A34A8A"/>
    <w:rsid w:val="00A36CD6"/>
    <w:rsid w:val="00A40685"/>
    <w:rsid w:val="00A443E2"/>
    <w:rsid w:val="00A529D6"/>
    <w:rsid w:val="00A534E4"/>
    <w:rsid w:val="00A5395E"/>
    <w:rsid w:val="00A56D96"/>
    <w:rsid w:val="00A70CFE"/>
    <w:rsid w:val="00A72DBD"/>
    <w:rsid w:val="00A737E3"/>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630D"/>
    <w:rsid w:val="00AE7B7A"/>
    <w:rsid w:val="00AF01D2"/>
    <w:rsid w:val="00AF2843"/>
    <w:rsid w:val="00AF639C"/>
    <w:rsid w:val="00B013E9"/>
    <w:rsid w:val="00B057DC"/>
    <w:rsid w:val="00B06407"/>
    <w:rsid w:val="00B06D2C"/>
    <w:rsid w:val="00B11406"/>
    <w:rsid w:val="00B120D6"/>
    <w:rsid w:val="00B137F9"/>
    <w:rsid w:val="00B16594"/>
    <w:rsid w:val="00B20422"/>
    <w:rsid w:val="00B21BA7"/>
    <w:rsid w:val="00B21F1D"/>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C0EF9"/>
    <w:rsid w:val="00BC33DB"/>
    <w:rsid w:val="00BC4F2B"/>
    <w:rsid w:val="00BC5BE4"/>
    <w:rsid w:val="00BD4D26"/>
    <w:rsid w:val="00BE0EEA"/>
    <w:rsid w:val="00BE2937"/>
    <w:rsid w:val="00BE3CE2"/>
    <w:rsid w:val="00BF47EA"/>
    <w:rsid w:val="00BF74D0"/>
    <w:rsid w:val="00BF7559"/>
    <w:rsid w:val="00C00FED"/>
    <w:rsid w:val="00C0282D"/>
    <w:rsid w:val="00C0384E"/>
    <w:rsid w:val="00C05CA8"/>
    <w:rsid w:val="00C32C88"/>
    <w:rsid w:val="00C33678"/>
    <w:rsid w:val="00C40517"/>
    <w:rsid w:val="00C412B4"/>
    <w:rsid w:val="00C43944"/>
    <w:rsid w:val="00C44093"/>
    <w:rsid w:val="00C44F26"/>
    <w:rsid w:val="00C52D5D"/>
    <w:rsid w:val="00C6585D"/>
    <w:rsid w:val="00C670AB"/>
    <w:rsid w:val="00C67814"/>
    <w:rsid w:val="00C71198"/>
    <w:rsid w:val="00C7260A"/>
    <w:rsid w:val="00C819E0"/>
    <w:rsid w:val="00C82041"/>
    <w:rsid w:val="00C82EC5"/>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3E1E"/>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4C5B"/>
    <w:rsid w:val="00D71762"/>
    <w:rsid w:val="00D73DE6"/>
    <w:rsid w:val="00D75585"/>
    <w:rsid w:val="00D7560D"/>
    <w:rsid w:val="00D75689"/>
    <w:rsid w:val="00D817F8"/>
    <w:rsid w:val="00D8521A"/>
    <w:rsid w:val="00D90AF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7C0"/>
    <w:rsid w:val="00E136A8"/>
    <w:rsid w:val="00E144F0"/>
    <w:rsid w:val="00E16FB9"/>
    <w:rsid w:val="00E17D9D"/>
    <w:rsid w:val="00E21286"/>
    <w:rsid w:val="00E2381D"/>
    <w:rsid w:val="00E250A8"/>
    <w:rsid w:val="00E3062C"/>
    <w:rsid w:val="00E45140"/>
    <w:rsid w:val="00E45B22"/>
    <w:rsid w:val="00E46893"/>
    <w:rsid w:val="00E46E40"/>
    <w:rsid w:val="00E5000C"/>
    <w:rsid w:val="00E528BC"/>
    <w:rsid w:val="00E53EA3"/>
    <w:rsid w:val="00E5621B"/>
    <w:rsid w:val="00E579CB"/>
    <w:rsid w:val="00E83465"/>
    <w:rsid w:val="00E862E7"/>
    <w:rsid w:val="00E913A9"/>
    <w:rsid w:val="00EA26D8"/>
    <w:rsid w:val="00EA36FB"/>
    <w:rsid w:val="00EA4BCC"/>
    <w:rsid w:val="00EB546B"/>
    <w:rsid w:val="00EB5A8A"/>
    <w:rsid w:val="00EC119D"/>
    <w:rsid w:val="00EC1807"/>
    <w:rsid w:val="00EC57F9"/>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61BF"/>
    <w:rsid w:val="00F4748F"/>
    <w:rsid w:val="00F5176A"/>
    <w:rsid w:val="00F520B3"/>
    <w:rsid w:val="00F52D81"/>
    <w:rsid w:val="00F5371A"/>
    <w:rsid w:val="00F5426B"/>
    <w:rsid w:val="00F54383"/>
    <w:rsid w:val="00F55B5C"/>
    <w:rsid w:val="00F62D40"/>
    <w:rsid w:val="00F6580A"/>
    <w:rsid w:val="00F6612C"/>
    <w:rsid w:val="00F66C37"/>
    <w:rsid w:val="00F70690"/>
    <w:rsid w:val="00F75FAF"/>
    <w:rsid w:val="00F8466D"/>
    <w:rsid w:val="00F85191"/>
    <w:rsid w:val="00F87000"/>
    <w:rsid w:val="00F90D5C"/>
    <w:rsid w:val="00F926F5"/>
    <w:rsid w:val="00F92711"/>
    <w:rsid w:val="00FA6BBE"/>
    <w:rsid w:val="00FB7141"/>
    <w:rsid w:val="00FC2BEC"/>
    <w:rsid w:val="00FC304E"/>
    <w:rsid w:val="00FC4921"/>
    <w:rsid w:val="00FC52CA"/>
    <w:rsid w:val="00FC7F6A"/>
    <w:rsid w:val="00FD0FD7"/>
    <w:rsid w:val="00FD4706"/>
    <w:rsid w:val="00FE7E91"/>
    <w:rsid w:val="00FF3725"/>
    <w:rsid w:val="00FF536D"/>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6CA6"/>
  <w15:docId w15:val="{9C283779-84EC-47B3-84E6-1E21D6E4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Samsung (Aby)</cp:lastModifiedBy>
  <cp:revision>22</cp:revision>
  <dcterms:created xsi:type="dcterms:W3CDTF">2023-06-26T13:18:00Z</dcterms:created>
  <dcterms:modified xsi:type="dcterms:W3CDTF">2023-06-30T03:33:00Z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ies>
</file>