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rsidR="00C463BB" w:rsidRDefault="00C7042B">
      <w:pPr>
        <w:pStyle w:val="3GPPHeader"/>
        <w:spacing w:line="276" w:lineRule="auto"/>
        <w:rPr>
          <w:rFonts w:eastAsiaTheme="minorEastAsia" w:cs="Arial"/>
        </w:rPr>
      </w:pPr>
      <w:r>
        <w:rPr>
          <w:rFonts w:cs="Arial" w:hint="eastAsia"/>
        </w:rPr>
        <w:t>Toulouse, France</w:t>
      </w:r>
      <w:r>
        <w:rPr>
          <w:rFonts w:cs="Arial"/>
        </w:rPr>
        <w:t xml:space="preserve">, </w:t>
      </w:r>
      <w:r>
        <w:rPr>
          <w:rFonts w:cs="Arial"/>
          <w:lang/>
        </w:rPr>
        <w:t xml:space="preserve">August </w:t>
      </w:r>
      <w:r>
        <w:rPr>
          <w:rFonts w:cs="Arial"/>
          <w:lang w:val="en-US"/>
        </w:rPr>
        <w:t>21-25</w:t>
      </w:r>
      <w:r>
        <w:rPr>
          <w:rFonts w:cs="Arial"/>
        </w:rPr>
        <w:t>, 202</w:t>
      </w:r>
      <w:r>
        <w:rPr>
          <w:rFonts w:cs="Arial"/>
          <w:lang w:val="en-US"/>
        </w:rPr>
        <w:t>3</w:t>
      </w:r>
    </w:p>
    <w:p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rsidR="00C463BB" w:rsidRDefault="00C7042B">
      <w:pPr>
        <w:pStyle w:val="3GPPHeader"/>
        <w:spacing w:line="276" w:lineRule="auto"/>
        <w:rPr>
          <w:rStyle w:val="af3"/>
          <w:rFonts w:ascii="微软雅黑" w:eastAsia="微软雅黑" w:hAnsi="微软雅黑"/>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rsidR="00C463BB" w:rsidRDefault="00C7042B">
      <w:pPr>
        <w:pStyle w:val="3GPPHeader"/>
        <w:spacing w:line="276" w:lineRule="auto"/>
        <w:rPr>
          <w:rFonts w:cs="Arial"/>
        </w:rPr>
      </w:pPr>
      <w:r>
        <w:rPr>
          <w:rFonts w:cs="Arial"/>
        </w:rPr>
        <w:t>Document for:</w:t>
      </w:r>
      <w:r>
        <w:rPr>
          <w:rFonts w:cs="Arial"/>
        </w:rPr>
        <w:tab/>
      </w:r>
      <w:r>
        <w:rPr>
          <w:rFonts w:cs="Arial"/>
        </w:rPr>
        <w:t>Discussion and Decision</w:t>
      </w:r>
    </w:p>
    <w:p w:rsidR="00C463BB" w:rsidRDefault="00C7042B">
      <w:pPr>
        <w:pStyle w:val="1"/>
        <w:spacing w:line="276" w:lineRule="auto"/>
        <w:jc w:val="both"/>
        <w:rPr>
          <w:lang w:eastAsia="zh-CN"/>
        </w:rPr>
      </w:pPr>
      <w:r>
        <w:rPr>
          <w:lang w:eastAsia="zh-CN"/>
        </w:rPr>
        <w:t>1</w:t>
      </w:r>
      <w:r>
        <w:rPr>
          <w:lang w:eastAsia="zh-CN"/>
        </w:rPr>
        <w:tab/>
        <w:t>Introduction</w:t>
      </w:r>
    </w:p>
    <w:p w:rsidR="00C463BB" w:rsidRDefault="00C7042B">
      <w:pPr>
        <w:spacing w:line="240" w:lineRule="auto"/>
        <w:rPr>
          <w:lang w:val="en-US"/>
        </w:rPr>
      </w:pPr>
      <w:r>
        <w:rPr>
          <w:lang w:val="en-US"/>
        </w:rPr>
        <w:t xml:space="preserve">The </w:t>
      </w:r>
      <w:r>
        <w:rPr>
          <w:lang w:val="en-US"/>
        </w:rPr>
        <w:t xml:space="preserve">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w:t>
      </w:r>
      <w:r>
        <w:rPr>
          <w:lang w:val="en-US"/>
        </w:rPr>
        <w:t>And PC</w:t>
      </w:r>
      <w:r>
        <w:rPr>
          <w:lang w:val="en-US"/>
        </w:rPr>
        <w:t>I unchanged (i.e. no handover) is an effective solution to reduce signaling overhead. Further, in RAN2 121bis meeting, we have agreed that in quasi-earth fixed cell case, for hard satellite switch in the same SSB frequency and same gNB (no key change), sat</w:t>
      </w:r>
      <w:r>
        <w:rPr>
          <w:lang w:val="en-US"/>
        </w:rPr>
        <w:t xml:space="preserve">ellite switching without PCI changing (not requiring L3 mobility) is supported.  </w:t>
      </w:r>
      <w:bookmarkStart w:id="1" w:name="_GoBack"/>
      <w:bookmarkEnd w:id="1"/>
    </w:p>
    <w:p w:rsidR="00C463BB" w:rsidRDefault="00C463BB">
      <w:pPr>
        <w:spacing w:line="240" w:lineRule="auto"/>
        <w:jc w:val="center"/>
        <w:rPr>
          <w:lang w:val="en-US"/>
        </w:rPr>
      </w:pPr>
      <w:r w:rsidRPr="00C463BB">
        <w:rPr>
          <w:lang w:val="en-US"/>
        </w:rPr>
        <w:object w:dxaOrig="13282" w:dyaOrig="7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71.35pt" o:ole="">
            <v:imagedata r:id="rId14" o:title=""/>
            <o:lock v:ext="edit" aspectratio="f"/>
          </v:shape>
          <o:OLEObject Type="Embed" ProgID="Visio.Drawing.11" ShapeID="_x0000_i1025" DrawAspect="Content" ObjectID="_1749654450" r:id="rId15"/>
        </w:object>
      </w:r>
    </w:p>
    <w:p w:rsidR="00C463BB" w:rsidRDefault="00C7042B">
      <w:pPr>
        <w:spacing w:line="240" w:lineRule="auto"/>
        <w:jc w:val="center"/>
        <w:rPr>
          <w:lang w:val="en-US"/>
        </w:rPr>
      </w:pPr>
      <w:r>
        <w:rPr>
          <w:lang w:val="en-US"/>
        </w:rPr>
        <w:t>Figure 1 PCI unchanged in quasi-earth fixed cell case</w:t>
      </w:r>
    </w:p>
    <w:p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rsidR="00C463BB" w:rsidRDefault="00C463BB">
      <w:pPr>
        <w:spacing w:line="240" w:lineRule="auto"/>
        <w:rPr>
          <w:i/>
          <w:iCs/>
          <w:lang w:val="en-US" w:eastAsia="zh-CN"/>
        </w:rPr>
      </w:pPr>
    </w:p>
    <w:p w:rsidR="00C463BB" w:rsidRDefault="00C7042B">
      <w:pPr>
        <w:spacing w:line="240" w:lineRule="auto"/>
        <w:rPr>
          <w:lang w:eastAsia="zh-CN"/>
        </w:rPr>
      </w:pPr>
      <w:r>
        <w:rPr>
          <w:lang w:val="en-US"/>
        </w:rPr>
        <w:lastRenderedPageBreak/>
        <w:t xml:space="preserve">Hence, </w:t>
      </w:r>
      <w:r>
        <w:rPr>
          <w:lang w:val="en-US"/>
        </w:rPr>
        <w:t xml:space="preserve">to </w:t>
      </w:r>
      <w:r w:rsidR="00327D7D">
        <w:rPr>
          <w:rFonts w:hint="eastAsia"/>
          <w:lang w:val="en-US" w:eastAsia="zh-CN"/>
        </w:rPr>
        <w:t xml:space="preserve">progress the </w:t>
      </w:r>
      <w:r>
        <w:rPr>
          <w:lang w:val="en-US"/>
        </w:rPr>
        <w:t xml:space="preserve">discussion </w:t>
      </w:r>
      <w:r>
        <w:rPr>
          <w:lang w:val="en-US"/>
        </w:rPr>
        <w:t xml:space="preserve">on unchanged PCI, </w:t>
      </w:r>
      <w:r>
        <w:rPr>
          <w:lang w:val="en-US"/>
        </w:rPr>
        <w:t xml:space="preserve">this offline </w:t>
      </w:r>
      <w:r>
        <w:rPr>
          <w:lang w:val="en-US"/>
        </w:rPr>
        <w:t>discussion aims to address the left issue and reach some agreements</w:t>
      </w:r>
      <w:r>
        <w:t xml:space="preserve"> for </w:t>
      </w:r>
      <w:r>
        <w:rPr>
          <w:lang w:val="en-US"/>
        </w:rPr>
        <w:t>unchanged PCI</w:t>
      </w:r>
      <w:r>
        <w:t xml:space="preserve"> in </w:t>
      </w:r>
      <w:r>
        <w:rPr>
          <w:lang w:val="en-US"/>
        </w:rPr>
        <w:t>7.7.4.2</w:t>
      </w:r>
      <w:r>
        <w:t xml:space="preserve"> as follows:</w:t>
      </w:r>
    </w:p>
    <w:p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w:t>
      </w:r>
      <w:r>
        <w:rPr>
          <w:rFonts w:ascii="Arial" w:eastAsiaTheme="minorEastAsia" w:hAnsi="Arial" w:hint="eastAsia"/>
          <w:szCs w:val="24"/>
          <w:lang w:val="en-US" w:eastAsia="zh-CN"/>
        </w:rPr>
        <w:t>ion aspects</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rsidR="00C463BB" w:rsidRDefault="00C7042B">
      <w:pPr>
        <w:pStyle w:val="1"/>
        <w:spacing w:line="276" w:lineRule="auto"/>
        <w:jc w:val="both"/>
        <w:rPr>
          <w:lang w:eastAsia="zh-CN"/>
        </w:rPr>
      </w:pPr>
      <w:r>
        <w:rPr>
          <w:lang w:eastAsia="zh-CN"/>
        </w:rPr>
        <w:t>2</w:t>
      </w:r>
      <w:r>
        <w:rPr>
          <w:lang w:eastAsia="zh-CN"/>
        </w:rPr>
        <w:tab/>
      </w:r>
      <w:r>
        <w:rPr>
          <w:lang w:eastAsia="zh-CN"/>
        </w:rPr>
        <w:t xml:space="preserve">Discussion </w:t>
      </w:r>
    </w:p>
    <w:p w:rsidR="00C4299F" w:rsidRDefault="002C4963" w:rsidP="00C4299F">
      <w:pPr>
        <w:pStyle w:val="20"/>
        <w:numPr>
          <w:ilvl w:val="0"/>
          <w:numId w:val="14"/>
        </w:numPr>
        <w:ind w:right="200"/>
        <w:rPr>
          <w:rFonts w:hint="eastAsia"/>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rsidR="00B07F7A" w:rsidRDefault="00B07F7A">
      <w:pPr>
        <w:rPr>
          <w:rFonts w:hint="eastAsia"/>
          <w:lang w:val="en-US" w:eastAsia="zh-CN"/>
        </w:rPr>
      </w:pPr>
    </w:p>
    <w:p w:rsidR="00C463BB" w:rsidRDefault="00C7042B">
      <w:pPr>
        <w:rPr>
          <w:lang w:val="en-US" w:eastAsia="zh-CN"/>
        </w:rPr>
      </w:pPr>
      <w:r>
        <w:rPr>
          <w:lang w:val="en-US" w:eastAsia="zh-CN"/>
        </w:rPr>
        <w:t>Therefore, for re-synchronize time, we could extract the following candidate solutions:</w:t>
      </w:r>
    </w:p>
    <w:p w:rsidR="00C463BB" w:rsidRDefault="00C7042B">
      <w:pPr>
        <w:rPr>
          <w:lang w:val="en-US" w:eastAsia="zh-CN"/>
        </w:rPr>
      </w:pPr>
      <w:r>
        <w:rPr>
          <w:b/>
          <w:bCs/>
          <w:lang w:val="en-US" w:eastAsia="zh-CN"/>
        </w:rPr>
        <w:t>Option 1:</w:t>
      </w:r>
      <w:r>
        <w:rPr>
          <w:lang w:val="en-US" w:eastAsia="zh-CN"/>
        </w:rPr>
        <w:t xml:space="preserve"> Introduce a new “t-Start” (correspon</w:t>
      </w:r>
      <w:r>
        <w:rPr>
          <w:lang w:val="en-US" w:eastAsia="zh-CN"/>
        </w:rPr>
        <w:t xml:space="preserve">ding to incoming satellite </w:t>
      </w:r>
      <w:r>
        <w:t>starts providing coverage for the serving cell</w:t>
      </w:r>
      <w:r>
        <w:rPr>
          <w:lang w:val="en-US" w:eastAsia="zh-CN"/>
        </w:rPr>
        <w:t>)</w:t>
      </w:r>
    </w:p>
    <w:p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rsidR="00C463BB" w:rsidRDefault="00C7042B">
      <w:pPr>
        <w:rPr>
          <w:lang w:val="en-US" w:eastAsia="zh-CN"/>
        </w:rPr>
      </w:pPr>
      <w:r>
        <w:rPr>
          <w:b/>
          <w:bCs/>
          <w:lang w:val="en-US" w:eastAsia="zh-CN"/>
        </w:rPr>
        <w:t>Option 3:</w:t>
      </w:r>
      <w:r>
        <w:rPr>
          <w:lang w:val="en-US" w:eastAsia="zh-CN"/>
        </w:rPr>
        <w:t xml:space="preserve"> reuse t-serv</w:t>
      </w:r>
      <w:r>
        <w:rPr>
          <w:lang w:val="en-US" w:eastAsia="zh-CN"/>
        </w:rPr>
        <w:t>ice</w:t>
      </w:r>
      <w:r w:rsidR="005C1AE3">
        <w:rPr>
          <w:rFonts w:hint="eastAsia"/>
          <w:lang w:val="en-US" w:eastAsia="zh-CN"/>
        </w:rPr>
        <w:t xml:space="preserve"> </w:t>
      </w:r>
      <w:r>
        <w:rPr>
          <w:lang w:val="en-US" w:eastAsia="zh-CN"/>
        </w:rPr>
        <w:t>(i.e. no other IE) with the condition that</w:t>
      </w:r>
      <w:r>
        <w:t xml:space="preserve"> the gap is very short/zero</w:t>
      </w:r>
    </w:p>
    <w:p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rsidR="00B07F7A" w:rsidRPr="00B07F7A" w:rsidRDefault="00B07F7A">
      <w:pPr>
        <w:outlineLvl w:val="2"/>
        <w:rPr>
          <w:b/>
          <w:lang w:eastAsia="zh-CN"/>
        </w:rPr>
      </w:pP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&lt;blank&gt;</w:t>
      </w:r>
    </w:p>
    <w:p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 xml:space="preserve">(t-star or t-gap) </w:t>
      </w:r>
      <w:r>
        <w:rPr>
          <w:lang w:val="en-US" w:eastAsia="zh-CN"/>
        </w:rPr>
        <w:t>is supported, we need to discuss how to provide it to UE, simply, both system information and dedicated signaling could be considered.</w:t>
      </w:r>
    </w:p>
    <w:p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w:t>
      </w:r>
      <w:r>
        <w:rPr>
          <w:b/>
          <w:lang w:val="en-US" w:eastAsia="zh-CN"/>
        </w:rPr>
        <w:t>ormation?</w:t>
      </w:r>
    </w:p>
    <w:p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lang w:eastAsia="zh-CN"/>
        </w:rPr>
      </w:pPr>
    </w:p>
    <w:p w:rsidR="00C463BB" w:rsidRDefault="00C7042B">
      <w:pPr>
        <w:rPr>
          <w:bCs/>
          <w:lang w:val="en-US" w:eastAsia="zh-CN"/>
        </w:rPr>
      </w:pPr>
      <w:r>
        <w:rPr>
          <w:bCs/>
          <w:lang w:val="en-US" w:eastAsia="zh-CN"/>
        </w:rPr>
        <w:t xml:space="preserve">As mentioned in some companies’ contribution, </w:t>
      </w:r>
      <w:r>
        <w:rPr>
          <w:bCs/>
          <w:lang w:val="en-US" w:eastAsia="zh-CN"/>
        </w:rPr>
        <w:t>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w:t>
      </w:r>
      <w:r>
        <w:rPr>
          <w:lang w:val="en-US" w:eastAsia="zh-CN"/>
        </w:rPr>
        <w:t>-synchronize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w:t>
      </w:r>
      <w:r>
        <w:rPr>
          <w:bCs/>
          <w:lang w:val="en-US" w:eastAsia="zh-CN"/>
        </w:rPr>
        <w:t xml:space="preserve"> t-service, because UE maybe still not clear whether the current scenario is PCI unchanged scenario only with the t-service.</w:t>
      </w:r>
    </w:p>
    <w:p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b/>
          <w:lang w:eastAsia="zh-CN"/>
        </w:rPr>
      </w:pPr>
    </w:p>
    <w:p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&lt;blank&gt;</w:t>
      </w:r>
    </w:p>
    <w:p w:rsidR="00C463BB" w:rsidRDefault="00C463BB">
      <w:pPr>
        <w:rPr>
          <w:highlight w:val="yellow"/>
        </w:rPr>
      </w:pPr>
    </w:p>
    <w:p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w:t>
      </w:r>
      <w:r>
        <w:rPr>
          <w:b/>
          <w:lang w:val="en-US"/>
        </w:rPr>
        <w:t xml:space="preserve"> after switch, 2-step RA could be supported firstly considering the long RTT in NTN system?</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&lt;blank&gt;</w:t>
      </w:r>
    </w:p>
    <w:p w:rsidR="00C463BB" w:rsidRDefault="00C463BB">
      <w:pPr>
        <w:rPr>
          <w:lang w:val="en-US"/>
        </w:rPr>
      </w:pPr>
    </w:p>
    <w:p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rsidR="00C463BB" w:rsidRDefault="00C7042B">
      <w:pPr>
        <w:outlineLvl w:val="2"/>
        <w:rPr>
          <w:b/>
          <w:lang w:val="en-US" w:eastAsia="zh-CN"/>
        </w:rPr>
      </w:pPr>
      <w:r>
        <w:rPr>
          <w:b/>
        </w:rPr>
        <w:lastRenderedPageBreak/>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rFonts w:hint="eastAsia"/>
          <w:highlight w:val="yellow"/>
          <w:lang w:eastAsia="zh-CN"/>
        </w:rPr>
      </w:pPr>
      <w:r>
        <w:rPr>
          <w:highlight w:val="yellow"/>
        </w:rPr>
        <w:t>&lt;blank&gt;</w:t>
      </w:r>
    </w:p>
    <w:p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2"/>
        <w:tblW w:w="9631" w:type="dxa"/>
        <w:tblLayout w:type="fixed"/>
        <w:tblLook w:val="04A0"/>
      </w:tblPr>
      <w:tblGrid>
        <w:gridCol w:w="1555"/>
        <w:gridCol w:w="2126"/>
        <w:gridCol w:w="5950"/>
      </w:tblGrid>
      <w:tr w:rsidR="00366A81" w:rsidTr="000A4EF6">
        <w:tc>
          <w:tcPr>
            <w:tcW w:w="1555" w:type="dxa"/>
          </w:tcPr>
          <w:p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rsidTr="000A4EF6">
        <w:tc>
          <w:tcPr>
            <w:tcW w:w="1555" w:type="dxa"/>
          </w:tcPr>
          <w:p w:rsidR="00366A81" w:rsidRDefault="00366A81" w:rsidP="00366A81">
            <w:pPr>
              <w:ind w:right="200"/>
              <w:rPr>
                <w:rFonts w:ascii="Arial" w:hAnsi="Arial" w:cs="Arial"/>
                <w:lang w:val="en-US"/>
              </w:rPr>
            </w:pPr>
          </w:p>
        </w:tc>
        <w:tc>
          <w:tcPr>
            <w:tcW w:w="2126" w:type="dxa"/>
          </w:tcPr>
          <w:p w:rsidR="00366A81" w:rsidRDefault="00366A81" w:rsidP="00366A81">
            <w:pPr>
              <w:ind w:right="200"/>
              <w:rPr>
                <w:rFonts w:ascii="Arial" w:hAnsi="Arial" w:cs="Arial"/>
                <w:lang w:val="en-US"/>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bl>
    <w:p w:rsidR="00366A81" w:rsidRDefault="00366A81" w:rsidP="00366A81">
      <w:pPr>
        <w:rPr>
          <w:lang w:val="en-US"/>
        </w:rPr>
      </w:pPr>
    </w:p>
    <w:p w:rsidR="00366A81" w:rsidRDefault="00366A81" w:rsidP="00366A81">
      <w:pPr>
        <w:rPr>
          <w:highlight w:val="yellow"/>
        </w:rPr>
      </w:pPr>
      <w:r>
        <w:rPr>
          <w:highlight w:val="yellow"/>
        </w:rPr>
        <w:t>Summary:</w:t>
      </w:r>
    </w:p>
    <w:p w:rsidR="00366A81" w:rsidRDefault="00366A81" w:rsidP="00366A81">
      <w:pPr>
        <w:rPr>
          <w:rFonts w:hint="eastAsia"/>
          <w:highlight w:val="yellow"/>
          <w:lang w:eastAsia="zh-CN"/>
        </w:rPr>
      </w:pPr>
      <w:r>
        <w:rPr>
          <w:highlight w:val="yellow"/>
        </w:rPr>
        <w:t>&lt;blank&gt;</w:t>
      </w:r>
    </w:p>
    <w:p w:rsidR="00366A81" w:rsidRPr="00366A81" w:rsidRDefault="00366A81">
      <w:pPr>
        <w:rPr>
          <w:rFonts w:hint="eastAsia"/>
          <w:highlight w:val="yellow"/>
          <w:lang w:val="en-US" w:eastAsia="zh-CN"/>
        </w:rPr>
      </w:pPr>
    </w:p>
    <w:p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rsidR="00C463BB" w:rsidRDefault="002C4963">
      <w:pPr>
        <w:rPr>
          <w:bCs/>
          <w:lang w:val="en-US" w:eastAsia="zh-CN"/>
        </w:rPr>
      </w:pPr>
      <w:r>
        <w:rPr>
          <w:bCs/>
          <w:lang w:val="en-US" w:eastAsia="zh-CN"/>
        </w:rPr>
        <w:t>In addition, back</w:t>
      </w:r>
      <w:r w:rsidR="00C7042B">
        <w:rPr>
          <w:bCs/>
          <w:lang w:val="en-US" w:eastAsia="zh-CN"/>
        </w:rPr>
        <w:t>ward compatibility issue should also be considered as companies mentioned. If current scenario is PCI unchanged case, the legacy UEs who are not able to identify the indication mentioned above form NW, they might still perform handover pr</w:t>
      </w:r>
      <w:r w:rsidR="00C7042B">
        <w:rPr>
          <w:bCs/>
          <w:lang w:val="en-US" w:eastAsia="zh-CN"/>
        </w:rPr>
        <w:t xml:space="preserve">ocedure(i.e. </w:t>
      </w:r>
      <w:r w:rsidR="00C7042B">
        <w:rPr>
          <w:lang w:val="en-US"/>
        </w:rPr>
        <w:t>L3 mobility</w:t>
      </w:r>
      <w:r w:rsidR="00C7042B">
        <w:rPr>
          <w:bCs/>
          <w:lang w:val="en-US" w:eastAsia="zh-CN"/>
        </w:rPr>
        <w:t xml:space="preserve">), or leverage BFR procedure. </w:t>
      </w:r>
    </w:p>
    <w:p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rsidR="00C463BB" w:rsidRDefault="00C7042B">
      <w:pPr>
        <w:spacing w:line="260" w:lineRule="auto"/>
        <w:rPr>
          <w:b/>
          <w:lang w:val="en-US" w:eastAsia="zh-CN"/>
        </w:rPr>
      </w:pPr>
      <w:r>
        <w:rPr>
          <w:b/>
          <w:lang w:val="en-US" w:eastAsia="zh-CN"/>
        </w:rPr>
        <w:lastRenderedPageBreak/>
        <w:t>Option 2: Reuse BFR procedure</w:t>
      </w:r>
    </w:p>
    <w:p w:rsidR="00C463BB" w:rsidRDefault="00C7042B">
      <w:pPr>
        <w:spacing w:line="260" w:lineRule="auto"/>
        <w:rPr>
          <w:b/>
          <w:lang w:val="en-US" w:eastAsia="zh-CN"/>
        </w:rPr>
      </w:pPr>
      <w:r>
        <w:rPr>
          <w:b/>
          <w:lang w:val="en-US" w:eastAsia="zh-CN"/>
        </w:rPr>
        <w:t>Option 3: other solution</w:t>
      </w:r>
    </w:p>
    <w:tbl>
      <w:tblPr>
        <w:tblStyle w:val="af2"/>
        <w:tblW w:w="9631" w:type="dxa"/>
        <w:tblLayout w:type="fixed"/>
        <w:tblLook w:val="04A0"/>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w:t>
            </w:r>
            <w:r>
              <w:rPr>
                <w:rFonts w:ascii="Arial" w:hAnsi="Arial" w:cs="Arial"/>
                <w:b/>
                <w:lang w:val="en-US"/>
              </w:rPr>
              <w:t>s</w:t>
            </w:r>
          </w:p>
        </w:tc>
      </w:tr>
      <w:tr w:rsidR="00C463BB">
        <w:tc>
          <w:tcPr>
            <w:tcW w:w="1555" w:type="dxa"/>
          </w:tcPr>
          <w:p w:rsidR="00C463BB" w:rsidRDefault="00C463BB">
            <w:pPr>
              <w:rPr>
                <w:rFonts w:ascii="Arial" w:hAnsi="Arial" w:cs="Arial"/>
                <w:lang w:val="en-US"/>
              </w:rPr>
            </w:pPr>
          </w:p>
        </w:tc>
        <w:tc>
          <w:tcPr>
            <w:tcW w:w="2126" w:type="dxa"/>
          </w:tcPr>
          <w:p w:rsidR="00C463BB" w:rsidRDefault="00C463BB">
            <w:pPr>
              <w:rPr>
                <w:rFonts w:ascii="Arial" w:hAnsi="Arial" w:cs="Arial"/>
                <w:lang w:val="en-US"/>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spacing w:line="260" w:lineRule="auto"/>
        <w:rPr>
          <w:b/>
          <w:lang w:val="en-US" w:eastAsia="zh-CN"/>
        </w:rPr>
      </w:pP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lang w:eastAsia="zh-CN"/>
        </w:rPr>
      </w:pPr>
    </w:p>
    <w:p w:rsidR="00C463BB" w:rsidRDefault="00C463BB">
      <w:pPr>
        <w:rPr>
          <w:b/>
          <w:lang w:eastAsia="zh-CN"/>
        </w:rPr>
      </w:pPr>
    </w:p>
    <w:p w:rsidR="00C463BB" w:rsidRDefault="00C463BB">
      <w:pPr>
        <w:rPr>
          <w:b/>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bCs/>
          <w:i/>
          <w:iCs/>
          <w:color w:val="C00000"/>
          <w:lang w:eastAsia="zh-CN"/>
        </w:rPr>
      </w:pPr>
    </w:p>
    <w:p w:rsidR="00C463BB" w:rsidRDefault="00C463BB">
      <w:pPr>
        <w:rPr>
          <w:b/>
          <w:bCs/>
          <w:iCs/>
          <w:color w:val="C00000"/>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C463BB" w:rsidRDefault="00C463BB">
      <w:pPr>
        <w:rPr>
          <w:rFonts w:eastAsiaTheme="minorEastAsia"/>
          <w:b/>
          <w:iCs/>
          <w:lang w:eastAsia="zh-CN"/>
        </w:rPr>
      </w:pPr>
    </w:p>
    <w:p w:rsidR="00C463BB" w:rsidRDefault="00C463BB">
      <w:pPr>
        <w:rPr>
          <w:rFonts w:eastAsiaTheme="minorEastAsia"/>
          <w:b/>
          <w:iCs/>
          <w:lang w:eastAsia="zh-CN"/>
        </w:rPr>
      </w:pPr>
    </w:p>
    <w:p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C463BB" w:rsidRDefault="00C463BB">
      <w:pPr>
        <w:rPr>
          <w:rFonts w:eastAsiaTheme="minorEastAsia"/>
          <w:lang w:val="en-US" w:eastAsia="zh-CN"/>
        </w:rPr>
      </w:pPr>
    </w:p>
    <w:p w:rsidR="00C463BB" w:rsidRDefault="00C7042B">
      <w:pPr>
        <w:pStyle w:val="1"/>
      </w:pPr>
      <w:r>
        <w:lastRenderedPageBreak/>
        <w:t>5</w:t>
      </w:r>
      <w:r>
        <w:tab/>
        <w:t>References</w:t>
      </w:r>
    </w:p>
    <w:p w:rsidR="00C463BB" w:rsidRDefault="00C7042B">
      <w:pPr>
        <w:pStyle w:val="Reference"/>
        <w:numPr>
          <w:ilvl w:val="0"/>
          <w:numId w:val="13"/>
        </w:numPr>
      </w:pPr>
      <w:r>
        <w:rPr>
          <w:rFonts w:hint="eastAsia"/>
        </w:rPr>
        <w:t>R2-2304836</w:t>
      </w:r>
      <w:r>
        <w:rPr>
          <w:rFonts w:hint="eastAsia"/>
        </w:rPr>
        <w:tab/>
        <w:t xml:space="preserve">Further discusison on </w:t>
      </w:r>
      <w:r>
        <w:rPr>
          <w:rFonts w:hint="eastAsia"/>
        </w:rPr>
        <w:t>service link switching with unchanged PCI</w:t>
      </w:r>
      <w:r>
        <w:rPr>
          <w:rFonts w:hint="eastAsia"/>
        </w:rPr>
        <w:tab/>
        <w:t>vivo</w:t>
      </w:r>
      <w:r>
        <w:rPr>
          <w:rFonts w:hint="eastAsia"/>
        </w:rPr>
        <w:tab/>
        <w:t>discussion</w:t>
      </w:r>
      <w:r>
        <w:rPr>
          <w:rFonts w:hint="eastAsia"/>
        </w:rPr>
        <w:tab/>
        <w:t>Rel-18</w:t>
      </w:r>
    </w:p>
    <w:p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w:t>
      </w:r>
      <w:r>
        <w:rPr>
          <w:rFonts w:hint="eastAsia"/>
        </w:rPr>
        <w:t>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R2-2305676</w:t>
      </w:r>
      <w:r>
        <w:rPr>
          <w:rFonts w:hint="eastAsia"/>
        </w:rPr>
        <w:tab/>
        <w:t>Discussion on handover enhancements for NTN-NTN mobil</w:t>
      </w:r>
      <w:r>
        <w:rPr>
          <w:rFonts w:hint="eastAsia"/>
        </w:rPr>
        <w:t>ity</w:t>
      </w:r>
      <w:r>
        <w:rPr>
          <w:rFonts w:hint="eastAsia"/>
        </w:rPr>
        <w:tab/>
        <w:t>Xiaomi</w:t>
      </w:r>
      <w:r>
        <w:rPr>
          <w:rFonts w:hint="eastAsia"/>
        </w:rPr>
        <w:tab/>
        <w:t>discussion</w:t>
      </w:r>
    </w:p>
    <w:p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w:t>
      </w:r>
      <w:r>
        <w:rPr>
          <w:rFonts w:hint="eastAsia"/>
        </w:rPr>
        <w:t>tion, Sanechips</w:t>
      </w:r>
      <w:r>
        <w:rPr>
          <w:rFonts w:hint="eastAsia"/>
        </w:rPr>
        <w:tab/>
        <w:t>discussion</w:t>
      </w:r>
      <w:r>
        <w:rPr>
          <w:rFonts w:hint="eastAsia"/>
        </w:rPr>
        <w:tab/>
        <w:t>Rel-18</w:t>
      </w:r>
      <w:r>
        <w:rPr>
          <w:rFonts w:hint="eastAsia"/>
        </w:rPr>
        <w:tab/>
        <w:t>NR_NTN_enh-Core</w:t>
      </w:r>
    </w:p>
    <w:p w:rsidR="00C463BB" w:rsidRDefault="00C7042B">
      <w:pPr>
        <w:pStyle w:val="1"/>
      </w:pPr>
      <w:r>
        <w:t>6 Contact information</w:t>
      </w:r>
    </w:p>
    <w:p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6373"/>
      </w:tblGrid>
      <w:tr w:rsidR="00C463BB">
        <w:trPr>
          <w:jc w:val="center"/>
        </w:trPr>
        <w:tc>
          <w:tcPr>
            <w:tcW w:w="1980" w:type="dxa"/>
            <w:shd w:val="clear" w:color="auto" w:fill="BFBFBF"/>
            <w:tcMar>
              <w:top w:w="0" w:type="dxa"/>
              <w:left w:w="108" w:type="dxa"/>
              <w:bottom w:w="0" w:type="dxa"/>
              <w:right w:w="108" w:type="dxa"/>
            </w:tcMar>
            <w:vAlign w:val="center"/>
          </w:tcPr>
          <w:p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C463BB" w:rsidRDefault="00C463BB">
            <w:pPr>
              <w:spacing w:after="0"/>
              <w:jc w:val="center"/>
              <w:rPr>
                <w:rFonts w:ascii="Calibri" w:eastAsia="MS Mincho" w:hAnsi="Calibri" w:cs="Calibri"/>
                <w:sz w:val="22"/>
                <w:szCs w:val="22"/>
                <w:lang w:val="de-DE" w:eastAsia="ja-JP"/>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fr-FR"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it-IT"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it-IT"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nl-NL"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S Mincho" w:hAnsi="Calibri" w:cs="Calibri"/>
                <w:sz w:val="22"/>
                <w:szCs w:val="22"/>
                <w:lang w:val="nl-NL" w:eastAsia="ja-JP"/>
              </w:rPr>
            </w:pPr>
          </w:p>
        </w:tc>
      </w:tr>
    </w:tbl>
    <w:p w:rsidR="00C463BB" w:rsidRDefault="00C463BB">
      <w:pPr>
        <w:pStyle w:val="Reference"/>
        <w:numPr>
          <w:ilvl w:val="0"/>
          <w:numId w:val="0"/>
        </w:numPr>
        <w:ind w:left="567" w:hanging="567"/>
      </w:pPr>
    </w:p>
    <w:sectPr w:rsidR="00C463B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E921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2B" w:rsidRDefault="00C7042B">
      <w:pPr>
        <w:spacing w:line="240" w:lineRule="auto"/>
      </w:pPr>
      <w:r>
        <w:separator/>
      </w:r>
    </w:p>
  </w:endnote>
  <w:endnote w:type="continuationSeparator" w:id="0">
    <w:p w:rsidR="00C7042B" w:rsidRDefault="00C704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3BB" w:rsidRDefault="00C463BB">
    <w:pPr>
      <w:pStyle w:val="ac"/>
    </w:pPr>
    <w:r>
      <w:rPr>
        <w:lang w:val="en-US" w:eastAsia="zh-CN"/>
      </w:rPr>
      <w:pict>
        <v:shapetype id="_x0000_t202" coordsize="21600,21600" o:spt="202" path="m,l,21600r21600,l21600,xe">
          <v:stroke joinstyle="miter"/>
          <v:path gradientshapeok="t" o:connecttype="rect"/>
        </v:shapetype>
        <v:shape id="MSIPCM8f3541e5a24d8cc7dfd4b0af" o:spid="_x0000_s2049"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mso-position-horizontal-relative:page;mso-position-vertical-relative:page;v-text-anchor:bottom"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BUnb1HsAIAAFwFAAAOAAAAZHJzL2Uyb0RvYy54bWytVE1v&#10;2zAMvQ/YfxB02GmNHcfO1+oUWYpsBdI1QDr0rMhSbMAWVUlpnA3776NsJ127HXrYxaZI6pF8Inl5&#10;VVcleRLGFqBS2u+FlAjFISvULqXf75cXY0qsYypjJSiR0qOw9Gr2/t3lQU9FBDmUmTAEQZSdHnRK&#10;c+f0NAgsz0XFbA+0UGiUYCrm8Gh2QWbYAdGrMojCcBgcwGTaABfWova6NdIO0bwFEKQsuLgGvq+E&#10;ci2qESVzWJLNC23prMlWSsHdnZRWOFKmFCt1zReDoLz132B2yaY7w3Re8C4F9pYUXtVUsUJh0DPU&#10;NXOM7E3xF1RVcAMWpOtxqIK2kIYRrKIfvuJmkzMtmlqQaqvPpNv/B8u/Pa0NKbKURpQoVuGD325u&#10;1ovbsRwkcV8kLIqzMeejTGbxNmSSkkxYjgz+/PC4B/fpK7P5AjLRnqYX/eFkkoziaND/2DmIYpe7&#10;zjyOo17YGR6KzOWdPpkkZ/26ZFz4h+1s7W8J4IRp5Q7gRmWifuG0NkXFzPGF1wZ7APui8ztldQ+6&#10;04TnwCshTzFR+cv3xkHbKVK00UiSqz9DjRNz0ltU+ievpan8Hx+ToB0763juLFE7wlE5SobhJE4o&#10;4WiLRoMwaVoveL6tjXVfBFTECyk1mHXTUOxpZR1mgq4nFx9MwbIoy6Z7S0UOKR0OEPKFBW+UCi/6&#10;GtpcveTqbd0VtoXsiHUZaKfCar4sMPiKWbdmBscAS8FF4e7wI0vAINBJlORgfvxL7/2xO9FKyQHH&#10;KqX2cc+MoKS8Udi3URKHoR/E5oSCaYRJP47xsD1p1b5aAI5sH3eR5o3ofV15EqWB6gEXydyHQxNT&#10;HIOmdHsSF66dclxEXMznjROOnGZupTaae+iWrfnegSwaij0/LSkdbTh0DfPdgvBT/ee58Xpeir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xhIYudcAAAALAQAADwAAAAAAAAABACAAAAAiAAAAZHJz&#10;L2Rvd25yZXYueG1sUEsBAhQAFAAAAAgAh07iQFSdvUewAgAAXAUAAA4AAAAAAAAAAQAgAAAAJgEA&#10;AGRycy9lMm9Eb2MueG1sUEsFBgAAAAAGAAYAWQEAAEgGAAAAAA==&#10;" o:allowincell="f" filled="f" stroked="f" strokeweight=".5pt">
          <v:textbox inset="20pt,0,.004mm,0">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w:r>
    <w:r w:rsidR="00C7042B">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2B" w:rsidRDefault="00C7042B">
      <w:pPr>
        <w:spacing w:after="0"/>
      </w:pPr>
      <w:r>
        <w:separator/>
      </w:r>
    </w:p>
  </w:footnote>
  <w:footnote w:type="continuationSeparator" w:id="0">
    <w:p w:rsidR="00C7042B" w:rsidRDefault="00C704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isplayBackgroundShape/>
  <w:attachedTemplate r:id="rId1"/>
  <w:stylePaneFormatFilter w:val="3F01"/>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3074"/>
    <o:shapelayout v:ext="edit">
      <o:idmap v:ext="edit" data="2"/>
    </o:shapelayout>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qFormat="1"/>
    <w:lsdException w:name="Table Grid 6"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C463BB"/>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宋体"/>
      <w:color w:val="0000FF"/>
      <w:u w:val="single"/>
      <w:lang w:val="en-US" w:eastAsia="zh-CN" w:bidi="ar-SA"/>
    </w:rPr>
  </w:style>
  <w:style w:type="character" w:styleId="af5">
    <w:name w:val="annotation reference"/>
    <w:uiPriority w:val="99"/>
    <w:qFormat/>
    <w:rsid w:val="00C463BB"/>
    <w:rPr>
      <w:rFonts w:eastAsia="宋体"/>
      <w:sz w:val="16"/>
      <w:lang w:val="en-US" w:eastAsia="zh-CN" w:bidi="ar-SA"/>
    </w:rPr>
  </w:style>
  <w:style w:type="character" w:styleId="af6">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7">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列表 Char"/>
    <w:link w:val="a4"/>
    <w:qFormat/>
    <w:rsid w:val="00C463BB"/>
    <w:rPr>
      <w:rFonts w:eastAsia="宋体"/>
      <w:lang w:val="en-GB" w:eastAsia="en-US" w:bidi="ar-SA"/>
    </w:rPr>
  </w:style>
  <w:style w:type="character" w:customStyle="1" w:styleId="MSMinchoChar">
    <w:name w:val="样式 列表 + (西文) MS Mincho Char"/>
    <w:basedOn w:val="Char"/>
    <w:link w:val="MSMincho"/>
    <w:qFormat/>
    <w:rsid w:val="00C463BB"/>
    <w:rPr>
      <w:rFonts w:eastAsia="宋体"/>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标题 2 Char"/>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批注文字 Char"/>
    <w:link w:val="a9"/>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Char3">
    <w:name w:val="页眉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Char2">
    <w:name w:val="正文文本 Char"/>
    <w:link w:val="aa"/>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标题 Char"/>
    <w:link w:val="af0"/>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列出段落 Char"/>
    <w:link w:val="afd"/>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标题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webSettings.xml><?xml version="1.0" encoding="utf-8"?>
<w:webSettings xmlns:r="http://schemas.openxmlformats.org/officeDocument/2006/relationships" xmlns:w="http://schemas.openxmlformats.org/wordprocessingml/2006/main">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8A85BC3-1379-4966-89AF-ED8EEFD8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25</TotalTime>
  <Pages>7</Pages>
  <Words>1109</Words>
  <Characters>6327</Characters>
  <Application>Microsoft Office Word</Application>
  <DocSecurity>0</DocSecurity>
  <Lines>52</Lines>
  <Paragraphs>14</Paragraphs>
  <ScaleCrop>false</ScaleCrop>
  <Company>Huawei Technologies Co.,Ltd.</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Chaili-P119</cp:lastModifiedBy>
  <cp:revision>14</cp:revision>
  <cp:lastPrinted>2009-04-22T01:01:00Z</cp:lastPrinted>
  <dcterms:created xsi:type="dcterms:W3CDTF">2021-08-25T03:49:00Z</dcterms:created>
  <dcterms:modified xsi:type="dcterms:W3CDTF">2023-06-30T10:21:00Z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2052-11.8.2.10912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y fmtid="{D5CDD505-2E9C-101B-9397-08002B2CF9AE}" pid="39" name="ICV">
    <vt:lpwstr>7795C02EB0B04AD3ACF68E521EF54651</vt:lpwstr>
  </property>
</Properties>
</file>