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6F54D79C"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6C5915" w:rsidRPr="00172431">
        <w:rPr>
          <w:rFonts w:cs="Arial"/>
          <w:bCs/>
          <w:sz w:val="22"/>
          <w:szCs w:val="22"/>
          <w:highlight w:val="yellow"/>
        </w:rPr>
        <w:t>R2-23</w:t>
      </w:r>
      <w:r w:rsidR="00172431" w:rsidRPr="00172431">
        <w:rPr>
          <w:rFonts w:cs="Arial"/>
          <w:bCs/>
          <w:sz w:val="22"/>
          <w:szCs w:val="22"/>
          <w:highlight w:val="yellow"/>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D161A" w:rsidRPr="00AD161A">
        <w:rPr>
          <w:rFonts w:ascii="Arial" w:hAnsi="Arial" w:cs="Arial"/>
          <w:bCs/>
          <w:sz w:val="22"/>
          <w:szCs w:val="22"/>
        </w:rPr>
        <w:t>Netw_Energy_NR</w:t>
      </w:r>
      <w:proofErr w:type="spellEnd"/>
      <w:r w:rsidR="00AD161A" w:rsidRPr="00AD161A">
        <w:rPr>
          <w:rFonts w:ascii="Arial" w:hAnsi="Arial" w:cs="Arial"/>
          <w:bCs/>
          <w:sz w:val="22"/>
          <w:szCs w:val="22"/>
        </w:rPr>
        <w:t>-Core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r>
      <w:proofErr w:type="spellStart"/>
      <w:proofErr w:type="gramStart"/>
      <w:r w:rsidRPr="00A72E98">
        <w:rPr>
          <w:rFonts w:ascii="Arial" w:hAnsi="Arial" w:cs="Arial"/>
          <w:bCs/>
          <w:sz w:val="22"/>
          <w:szCs w:val="22"/>
        </w:rPr>
        <w:t>marcin.augustyniak</w:t>
      </w:r>
      <w:proofErr w:type="spellEnd"/>
      <w:proofErr w:type="gramEnd"/>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There will be no impact to RACH, paging, and SIBs in idle/inactive for both </w:t>
            </w:r>
            <w:proofErr w:type="spellStart"/>
            <w:r w:rsidRPr="006D3ED5">
              <w:rPr>
                <w:b w:val="0"/>
                <w:kern w:val="2"/>
                <w:sz w:val="21"/>
                <w:lang w:val="en-US" w:eastAsia="ja-JP"/>
              </w:rPr>
              <w:t>gNB</w:t>
            </w:r>
            <w:proofErr w:type="spellEnd"/>
            <w:r w:rsidRPr="006D3ED5">
              <w:rPr>
                <w:b w:val="0"/>
                <w:kern w:val="2"/>
                <w:sz w:val="21"/>
                <w:lang w:val="en-US" w:eastAsia="ja-JP"/>
              </w:rPr>
              <w:t xml:space="preserve">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w:t>
            </w:r>
            <w:proofErr w:type="gramStart"/>
            <w:r w:rsidRPr="006D3ED5">
              <w:rPr>
                <w:b w:val="0"/>
                <w:kern w:val="2"/>
                <w:sz w:val="21"/>
                <w:lang w:val="en-US" w:eastAsia="ja-JP"/>
              </w:rPr>
              <w:t>timer .</w:t>
            </w:r>
            <w:proofErr w:type="gramEnd"/>
            <w:r w:rsidRPr="006D3ED5">
              <w:rPr>
                <w:b w:val="0"/>
                <w:kern w:val="2"/>
                <w:sz w:val="21"/>
                <w:lang w:val="en-US" w:eastAsia="ja-JP"/>
              </w:rPr>
              <w:t xml:space="preserve">  FFS on configuration signaling and stage 3.  </w:t>
            </w:r>
          </w:p>
          <w:p w14:paraId="0CA3FC1C"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agreement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w:t>
            </w:r>
            <w:proofErr w:type="spellStart"/>
            <w:r w:rsidRPr="006D3ED5">
              <w:rPr>
                <w:b w:val="0"/>
                <w:kern w:val="2"/>
                <w:sz w:val="21"/>
                <w:lang w:val="en-US" w:eastAsia="ja-JP"/>
              </w:rPr>
              <w:t>signalled</w:t>
            </w:r>
            <w:proofErr w:type="spellEnd"/>
            <w:r w:rsidRPr="006D3ED5">
              <w:rPr>
                <w:b w:val="0"/>
                <w:kern w:val="2"/>
                <w:sz w:val="21"/>
                <w:lang w:val="en-US" w:eastAsia="ja-JP"/>
              </w:rPr>
              <w:t xml:space="preserve">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w:t>
            </w:r>
            <w:proofErr w:type="spellStart"/>
            <w:r w:rsidRPr="006D3ED5">
              <w:rPr>
                <w:b w:val="0"/>
                <w:kern w:val="2"/>
                <w:sz w:val="21"/>
                <w:lang w:val="en-US" w:eastAsia="ja-JP"/>
              </w:rPr>
              <w:t>signalling</w:t>
            </w:r>
            <w:proofErr w:type="spellEnd"/>
            <w:r w:rsidRPr="006D3ED5">
              <w:rPr>
                <w:b w:val="0"/>
                <w:kern w:val="2"/>
                <w:sz w:val="21"/>
                <w:lang w:val="en-US" w:eastAsia="ja-JP"/>
              </w:rPr>
              <w:t xml:space="preserve">.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 xml:space="preserve">As a baseline Cell DTX/DRX is activated/deactivated implicitly by RRC </w:t>
            </w:r>
            <w:proofErr w:type="spellStart"/>
            <w:r w:rsidRPr="006D3ED5">
              <w:rPr>
                <w:b w:val="0"/>
                <w:kern w:val="2"/>
                <w:sz w:val="21"/>
                <w:highlight w:val="yellow"/>
                <w:lang w:val="en-US" w:eastAsia="ja-JP"/>
              </w:rPr>
              <w:t>signalling</w:t>
            </w:r>
            <w:proofErr w:type="spellEnd"/>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77777777"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UE C-DRX activation, but it cannot be </w:t>
      </w:r>
      <w:r w:rsidR="001A7B80">
        <w:rPr>
          <w:rFonts w:ascii="Arial" w:hAnsi="Arial" w:cs="Arial"/>
          <w:lang w:eastAsia="ja-JP"/>
        </w:rPr>
        <w:t>common</w:t>
      </w:r>
      <w:r>
        <w:rPr>
          <w:rFonts w:ascii="Arial" w:hAnsi="Arial" w:cs="Arial"/>
          <w:lang w:eastAsia="ja-JP"/>
        </w:rPr>
        <w:t xml:space="preserve">. </w:t>
      </w:r>
    </w:p>
    <w:p w14:paraId="33616F61" w14:textId="08953E1C"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r w:rsidR="000C2656">
        <w:rPr>
          <w:rFonts w:ascii="Arial" w:hAnsi="Arial" w:cs="Arial"/>
          <w:lang w:eastAsia="ja-JP"/>
        </w:rPr>
        <w:t xml:space="preserve"> </w:t>
      </w:r>
      <w:r w:rsidR="000C2656" w:rsidRPr="000C2656">
        <w:rPr>
          <w:rFonts w:ascii="Arial" w:hAnsi="Arial" w:cs="Arial"/>
          <w:lang w:eastAsia="ja-JP"/>
        </w:rPr>
        <w:t>compared to RRC signalling</w:t>
      </w:r>
      <w:r w:rsidR="000C2656">
        <w:rPr>
          <w:rFonts w:ascii="Arial" w:hAnsi="Arial" w:cs="Arial"/>
          <w:lang w:eastAsia="ja-JP"/>
        </w:rPr>
        <w:t xml:space="preserve">. </w:t>
      </w:r>
      <w:r w:rsidR="006C3B9C" w:rsidRPr="00C86D48">
        <w:rPr>
          <w:rFonts w:ascii="Arial" w:hAnsi="Arial" w:cs="Arial"/>
          <w:highlight w:val="yellow"/>
          <w:lang w:eastAsia="ja-JP"/>
        </w:rPr>
        <w:t xml:space="preserve">From some proponent companies’ </w:t>
      </w:r>
      <w:proofErr w:type="gramStart"/>
      <w:r w:rsidR="006C3B9C" w:rsidRPr="00C86D48">
        <w:rPr>
          <w:rFonts w:ascii="Arial" w:hAnsi="Arial" w:cs="Arial"/>
          <w:highlight w:val="yellow"/>
          <w:lang w:eastAsia="ja-JP"/>
        </w:rPr>
        <w:t>perspective</w:t>
      </w:r>
      <w:proofErr w:type="gramEnd"/>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3155A58B"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using L1 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Once L1 signalling for activation and deactivation of Cell DTX/D</w:t>
      </w:r>
      <w:bookmarkStart w:id="10" w:name="_GoBack"/>
      <w:bookmarkEnd w:id="10"/>
      <w:r>
        <w:rPr>
          <w:rFonts w:ascii="Arial" w:hAnsi="Arial" w:cs="Arial"/>
          <w:lang w:eastAsia="ja-JP"/>
        </w:rPr>
        <w:t xml:space="preserve">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3033FFC7"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11"/>
      <w:commentRangeStart w:id="12"/>
      <w:r w:rsidR="00C14C49" w:rsidRPr="00C14C49">
        <w:rPr>
          <w:rFonts w:ascii="Arial" w:hAnsi="Arial" w:cs="Arial"/>
          <w:lang w:eastAsia="ja-JP"/>
        </w:rPr>
        <w:t>information</w:t>
      </w:r>
      <w:commentRangeEnd w:id="11"/>
      <w:r w:rsidR="00046AC4">
        <w:rPr>
          <w:rStyle w:val="CommentReference"/>
          <w:rFonts w:ascii="Arial" w:hAnsi="Arial"/>
        </w:rPr>
        <w:commentReference w:id="11"/>
      </w:r>
      <w:commentRangeEnd w:id="12"/>
      <w:r w:rsidR="00397C63">
        <w:rPr>
          <w:rStyle w:val="CommentReference"/>
          <w:rFonts w:ascii="Arial" w:hAnsi="Arial"/>
        </w:rPr>
        <w:commentReference w:id="12"/>
      </w:r>
      <w:r w:rsidR="00C14C49" w:rsidRPr="00C14C49">
        <w:rPr>
          <w:rFonts w:ascii="Arial" w:hAnsi="Arial" w:cs="Arial"/>
          <w:lang w:eastAsia="ja-JP"/>
        </w:rPr>
        <w:t xml:space="preserve"> regarding feasibility and reliability of using 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13" w:name="OLE_LINK55"/>
      <w:bookmarkStart w:id="14" w:name="OLE_LINK56"/>
      <w:bookmarkStart w:id="15" w:name="OLE_LINK53"/>
      <w:bookmarkStart w:id="16"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13"/>
      <w:bookmarkEnd w:id="14"/>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15"/>
    <w:bookmarkEnd w:id="16"/>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12" w:author="Huawei (Marcin)" w:date="2023-04-27T08:15:00Z" w:initials="MA">
    <w:p w14:paraId="30C7DA51" w14:textId="4108C310" w:rsidR="00397C63" w:rsidRDefault="00397C63">
      <w:pPr>
        <w:pStyle w:val="CommentText"/>
      </w:pPr>
      <w:r>
        <w:rPr>
          <w:rStyle w:val="CommentReference"/>
        </w:rPr>
        <w:annotationRef/>
      </w:r>
      <w:r>
        <w:t>T</w:t>
      </w:r>
      <w:r>
        <w:t xml:space="preserve">here was no agreement to ask for benefits/gain from RAN1 and they are only provided in this LS for information. The agreement in RAN2 was to ask about feasibility, reliability and eventually design details (if agreed in RAN1). </w:t>
      </w:r>
      <w:proofErr w:type="gramStart"/>
      <w:r>
        <w:t>Therefore</w:t>
      </w:r>
      <w:proofErr w:type="gramEnd"/>
      <w:r>
        <w:t xml:space="preserv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E60D5" w15:done="0"/>
  <w15:commentEx w15:paraId="30C7DA51" w15:paraIdParent="0C0E6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181A5" w14:textId="77777777" w:rsidR="00871481" w:rsidRDefault="00871481">
      <w:pPr>
        <w:spacing w:after="0"/>
      </w:pPr>
      <w:r>
        <w:separator/>
      </w:r>
    </w:p>
  </w:endnote>
  <w:endnote w:type="continuationSeparator" w:id="0">
    <w:p w14:paraId="7E07F1BD" w14:textId="77777777" w:rsidR="00871481" w:rsidRDefault="00871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8F9C" w14:textId="77777777" w:rsidR="00871481" w:rsidRDefault="00871481">
      <w:pPr>
        <w:spacing w:after="0"/>
      </w:pPr>
      <w:r>
        <w:separator/>
      </w:r>
    </w:p>
  </w:footnote>
  <w:footnote w:type="continuationSeparator" w:id="0">
    <w:p w14:paraId="1E1D0430" w14:textId="77777777" w:rsidR="00871481" w:rsidRDefault="008714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CEC"/>
    <w:rsid w:val="00003617"/>
    <w:rsid w:val="00017F23"/>
    <w:rsid w:val="00046AC4"/>
    <w:rsid w:val="000C2656"/>
    <w:rsid w:val="000E178A"/>
    <w:rsid w:val="000F0F08"/>
    <w:rsid w:val="000F3D9A"/>
    <w:rsid w:val="000F6242"/>
    <w:rsid w:val="00143AC6"/>
    <w:rsid w:val="00172431"/>
    <w:rsid w:val="001977E5"/>
    <w:rsid w:val="001A7B80"/>
    <w:rsid w:val="001D79E6"/>
    <w:rsid w:val="002536B7"/>
    <w:rsid w:val="002A2457"/>
    <w:rsid w:val="002B1111"/>
    <w:rsid w:val="002B2B3E"/>
    <w:rsid w:val="002F1940"/>
    <w:rsid w:val="002F1E23"/>
    <w:rsid w:val="00357426"/>
    <w:rsid w:val="00382C19"/>
    <w:rsid w:val="00383545"/>
    <w:rsid w:val="00397C63"/>
    <w:rsid w:val="003A050F"/>
    <w:rsid w:val="003A5DD0"/>
    <w:rsid w:val="00420484"/>
    <w:rsid w:val="00433500"/>
    <w:rsid w:val="00433F71"/>
    <w:rsid w:val="00440D43"/>
    <w:rsid w:val="00464B60"/>
    <w:rsid w:val="004E3939"/>
    <w:rsid w:val="004E469D"/>
    <w:rsid w:val="00562D5D"/>
    <w:rsid w:val="005868CF"/>
    <w:rsid w:val="005B26BF"/>
    <w:rsid w:val="005F6AD5"/>
    <w:rsid w:val="005F7FD5"/>
    <w:rsid w:val="00681EB2"/>
    <w:rsid w:val="006C3B9C"/>
    <w:rsid w:val="006C5915"/>
    <w:rsid w:val="006D3ED5"/>
    <w:rsid w:val="006D49CB"/>
    <w:rsid w:val="00725131"/>
    <w:rsid w:val="00746B22"/>
    <w:rsid w:val="00761A1E"/>
    <w:rsid w:val="00774D8C"/>
    <w:rsid w:val="00780C33"/>
    <w:rsid w:val="007C5B55"/>
    <w:rsid w:val="007F4F92"/>
    <w:rsid w:val="008200A2"/>
    <w:rsid w:val="00835A83"/>
    <w:rsid w:val="008511FC"/>
    <w:rsid w:val="00871481"/>
    <w:rsid w:val="008D4B43"/>
    <w:rsid w:val="008D632C"/>
    <w:rsid w:val="008D772F"/>
    <w:rsid w:val="009075C4"/>
    <w:rsid w:val="0093001F"/>
    <w:rsid w:val="0099764C"/>
    <w:rsid w:val="009B0D22"/>
    <w:rsid w:val="009C5DE0"/>
    <w:rsid w:val="009D190A"/>
    <w:rsid w:val="009E7D72"/>
    <w:rsid w:val="00A46EAC"/>
    <w:rsid w:val="00A72E98"/>
    <w:rsid w:val="00A94D31"/>
    <w:rsid w:val="00AD161A"/>
    <w:rsid w:val="00B039DF"/>
    <w:rsid w:val="00B1019A"/>
    <w:rsid w:val="00B20A6F"/>
    <w:rsid w:val="00B83061"/>
    <w:rsid w:val="00B83E7E"/>
    <w:rsid w:val="00B97703"/>
    <w:rsid w:val="00BD7908"/>
    <w:rsid w:val="00C14A61"/>
    <w:rsid w:val="00C14C49"/>
    <w:rsid w:val="00C17932"/>
    <w:rsid w:val="00C20617"/>
    <w:rsid w:val="00C2363B"/>
    <w:rsid w:val="00C46C0E"/>
    <w:rsid w:val="00C86D48"/>
    <w:rsid w:val="00CF149A"/>
    <w:rsid w:val="00CF3300"/>
    <w:rsid w:val="00CF6087"/>
    <w:rsid w:val="00D6400D"/>
    <w:rsid w:val="00D77552"/>
    <w:rsid w:val="00D8357D"/>
    <w:rsid w:val="00E23125"/>
    <w:rsid w:val="00EB3602"/>
    <w:rsid w:val="00F36D37"/>
    <w:rsid w:val="00FB2C9D"/>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2</Pages>
  <Words>525</Words>
  <Characters>2997</Characters>
  <Application>Microsoft Office Word</Application>
  <DocSecurity>0</DocSecurity>
  <Lines>24</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Marcin Augustyniak</dc:creator>
  <cp:keywords/>
  <dc:description/>
  <cp:lastModifiedBy>Huawei (Marcin)</cp:lastModifiedBy>
  <cp:revision>4</cp:revision>
  <cp:lastPrinted>2002-04-23T07:10:00Z</cp:lastPrinted>
  <dcterms:created xsi:type="dcterms:W3CDTF">2023-04-26T07:09:00Z</dcterms:created>
  <dcterms:modified xsi:type="dcterms:W3CDTF">2023-04-27T06:15:00Z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(2)i7L24UyKuMhjnUQUit8dsvazKv/pEB60PobvornIRrx3Vs7M61I0xyEWGlIhbp5kZclAjlzJ
27s+8RdnKrTtuN6Ua0fJRO1sxHgVA++Ue3DgBf1zTVJQ17dfeuRiynizkdiUrrYwnh+B2W1p
4rUbsuvB8ZCBOkwc2q1A5vG9AE9naihTWbZJ3ueBatPfqfuOfWnu/Dpqw3CE9p2CQI+afL7W
xZIbh2OqfV2lL2iDMM</vt:lpwstr>
  </property>
  <property fmtid="{D5CDD505-2E9C-101B-9397-08002B2CF9AE}" pid="10" name="_2015_ms_pID_7253431">
    <vt:lpwstr>GUvvtJ7fhQWcNfsYcIvHhnqXCh8DDbpg44j+lu2b5olAm+Jj/xoWm7
/DpVxQ5x3K3CpmJRyy8ZXch6Poky1b802OTkk6Qm0FThP43Bi6j4+OW0/of5ozs9bNho6l7+
tHt6BbSWphH+YGlSHTvrgpq6A6HXHw7bDtLUgS0Ich2tlj4ocSXpyH0MtOBc0aVCd0bw2JgD
jiujFbKSMqrM+Wim</vt:lpwstr>
  </property>
</Properties>
</file>