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w:t>
      </w:r>
      <w:proofErr w:type="gramStart"/>
      <w:r w:rsidR="00122DB6" w:rsidRPr="00122DB6">
        <w:rPr>
          <w:rFonts w:ascii="Times New Roman" w:hAnsi="Times New Roman"/>
          <w:szCs w:val="24"/>
        </w:rPr>
        <w:t>12</w:t>
      </w:r>
      <w:r w:rsidR="00FA59E6">
        <w:rPr>
          <w:rFonts w:ascii="Times New Roman" w:hAnsi="Times New Roman"/>
          <w:szCs w:val="24"/>
        </w:rPr>
        <w:t>1</w:t>
      </w:r>
      <w:r w:rsidR="00122DB6" w:rsidRPr="00122DB6">
        <w:rPr>
          <w:rFonts w:ascii="Times New Roman" w:hAnsi="Times New Roman"/>
          <w:szCs w:val="24"/>
        </w:rPr>
        <w:t>][</w:t>
      </w:r>
      <w:proofErr w:type="gramEnd"/>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w:t>
            </w:r>
            <w:proofErr w:type="gramStart"/>
            <w:r>
              <w:t>121][</w:t>
            </w:r>
            <w:proofErr w:type="gramEnd"/>
            <w:r>
              <w:t>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lastRenderedPageBreak/>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CommentReference"/>
          <w:rFonts w:asciiTheme="minorHAnsi" w:eastAsia="宋体"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1"/>
        <w:gridCol w:w="1020"/>
        <w:gridCol w:w="6259"/>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ListParagraph"/>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20"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6259"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applicable, since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w:t>
            </w:r>
            <w:proofErr w:type="spellStart"/>
            <w:r>
              <w:rPr>
                <w:rFonts w:eastAsia="Yu Mincho"/>
                <w:lang w:eastAsia="ja-JP"/>
              </w:rPr>
              <w:t>Fwd</w:t>
            </w:r>
            <w:proofErr w:type="spellEnd"/>
            <w:r>
              <w:rPr>
                <w:rFonts w:eastAsia="Yu Mincho"/>
                <w:lang w:eastAsia="ja-JP"/>
              </w:rPr>
              <w:t xml:space="preserve"> OFF is covered by the RAN2 agreement “</w:t>
            </w:r>
            <w:r w:rsidRPr="00DF4062">
              <w:rPr>
                <w:rFonts w:eastAsia="Yu Mincho"/>
                <w:i/>
                <w:iCs/>
                <w:lang w:eastAsia="ja-JP"/>
              </w:rPr>
              <w:t>If NCR-MT enters RRC_IDLE due to no suitable cell is find, NCR-</w:t>
            </w:r>
            <w:proofErr w:type="spellStart"/>
            <w:r w:rsidRPr="00DF4062">
              <w:rPr>
                <w:rFonts w:eastAsia="Yu Mincho"/>
                <w:i/>
                <w:iCs/>
                <w:lang w:eastAsia="ja-JP"/>
              </w:rPr>
              <w:t>Fwd</w:t>
            </w:r>
            <w:proofErr w:type="spellEnd"/>
            <w:r w:rsidRPr="00DF4062">
              <w:rPr>
                <w:rFonts w:eastAsia="Yu Mincho"/>
                <w:i/>
                <w:iCs/>
                <w:lang w:eastAsia="ja-JP"/>
              </w:rPr>
              <w:t xml:space="preserve"> is OFF</w:t>
            </w:r>
            <w:r>
              <w:rPr>
                <w:rFonts w:eastAsia="Yu Mincho"/>
                <w:lang w:eastAsia="ja-JP"/>
              </w:rPr>
              <w:t xml:space="preserve">”, although it was agreed for RLF case. So, we don’t think these are needed to be agreed. </w:t>
            </w:r>
          </w:p>
        </w:tc>
      </w:tr>
      <w:tr w:rsidR="008D2AE8" w:rsidRPr="00467409" w14:paraId="20AB3044" w14:textId="77777777" w:rsidTr="009F7850">
        <w:tc>
          <w:tcPr>
            <w:tcW w:w="2071" w:type="dxa"/>
          </w:tcPr>
          <w:p w14:paraId="5278EDDE" w14:textId="3CC1BB25" w:rsidR="008D2AE8" w:rsidRDefault="008D2AE8" w:rsidP="008D2AE8">
            <w:pPr>
              <w:spacing w:after="0"/>
              <w:rPr>
                <w:rFonts w:eastAsia="Yu Mincho"/>
                <w:lang w:eastAsia="ja-JP"/>
              </w:rPr>
            </w:pPr>
            <w:r>
              <w:rPr>
                <w:rFonts w:asciiTheme="minorHAnsi" w:hAnsiTheme="minorHAnsi"/>
                <w:lang w:eastAsia="zh-CN"/>
              </w:rPr>
              <w:t>Intel</w:t>
            </w:r>
          </w:p>
        </w:tc>
        <w:tc>
          <w:tcPr>
            <w:tcW w:w="1020" w:type="dxa"/>
          </w:tcPr>
          <w:p w14:paraId="044A4B33" w14:textId="6F3551BB" w:rsidR="008D2AE8" w:rsidRDefault="008D2AE8" w:rsidP="008D2AE8">
            <w:pPr>
              <w:spacing w:after="0"/>
              <w:rPr>
                <w:rFonts w:eastAsia="Yu Mincho"/>
                <w:lang w:eastAsia="ja-JP"/>
              </w:rPr>
            </w:pPr>
            <w:r>
              <w:rPr>
                <w:rFonts w:asciiTheme="minorHAnsi" w:hAnsiTheme="minorHAnsi"/>
                <w:lang w:eastAsia="zh-CN"/>
              </w:rPr>
              <w:t>Yes</w:t>
            </w:r>
          </w:p>
        </w:tc>
        <w:tc>
          <w:tcPr>
            <w:tcW w:w="6259"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limited service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lang w:eastAsia="ja-JP"/>
              </w:rPr>
            </w:pPr>
            <w:r>
              <w:rPr>
                <w:lang w:eastAsia="ja-JP"/>
              </w:rPr>
              <w:t>Regarding to NCR-</w:t>
            </w:r>
            <w:proofErr w:type="spellStart"/>
            <w:r>
              <w:rPr>
                <w:lang w:eastAsia="ja-JP"/>
              </w:rPr>
              <w:t>Fwd</w:t>
            </w:r>
            <w:proofErr w:type="spellEnd"/>
            <w:r>
              <w:rPr>
                <w:lang w:eastAsia="ja-JP"/>
              </w:rPr>
              <w:t xml:space="preserve"> turning OFF, based on our agreement in RAN2 #121 meeting, </w:t>
            </w:r>
            <w:r w:rsidR="00DE0766">
              <w:rPr>
                <w:lang w:eastAsia="ja-JP"/>
              </w:rPr>
              <w:t>the NCR-</w:t>
            </w:r>
            <w:proofErr w:type="spellStart"/>
            <w:r w:rsidR="00DE0766">
              <w:rPr>
                <w:lang w:eastAsia="ja-JP"/>
              </w:rPr>
              <w:t>Fwd</w:t>
            </w:r>
            <w:proofErr w:type="spellEnd"/>
            <w:r w:rsidR="00DE0766">
              <w:rPr>
                <w:lang w:eastAsia="ja-JP"/>
              </w:rPr>
              <w:t xml:space="preserve"> will turn OFF when the NCR-MT </w:t>
            </w:r>
            <w:r w:rsidR="00DE0766">
              <w:rPr>
                <w:lang w:eastAsia="ja-JP"/>
              </w:rPr>
              <w:lastRenderedPageBreak/>
              <w:t xml:space="preserve">reselects another cell. Hence, </w:t>
            </w:r>
            <w:r w:rsidR="005B3FEC">
              <w:rPr>
                <w:lang w:eastAsia="ja-JP"/>
              </w:rPr>
              <w:t xml:space="preserve">the behavior camping on an acceptable cell or no cell </w:t>
            </w:r>
            <w:r w:rsidR="00770D05">
              <w:rPr>
                <w:lang w:eastAsia="ja-JP"/>
              </w:rPr>
              <w:t>can be categorized into the same scenario as cell reselection. There’s no need to have another agreement on NCR-</w:t>
            </w:r>
            <w:proofErr w:type="spellStart"/>
            <w:r w:rsidR="00770D05">
              <w:rPr>
                <w:lang w:eastAsia="ja-JP"/>
              </w:rPr>
              <w:t>Fwd</w:t>
            </w:r>
            <w:proofErr w:type="spellEnd"/>
            <w:r w:rsidR="00770D05">
              <w:rPr>
                <w:lang w:eastAsia="ja-JP"/>
              </w:rPr>
              <w:t xml:space="preserve"> behavior in this case.</w:t>
            </w:r>
          </w:p>
        </w:tc>
      </w:tr>
      <w:tr w:rsidR="00847E69" w:rsidRPr="00467409" w14:paraId="54D2FB92" w14:textId="77777777" w:rsidTr="009F7850">
        <w:tc>
          <w:tcPr>
            <w:tcW w:w="2071" w:type="dxa"/>
          </w:tcPr>
          <w:p w14:paraId="038D39D5" w14:textId="08B81C48" w:rsidR="00847E69" w:rsidRDefault="00847E69" w:rsidP="008D2AE8">
            <w:pPr>
              <w:spacing w:after="0"/>
              <w:rPr>
                <w:lang w:eastAsia="zh-CN"/>
              </w:rPr>
            </w:pPr>
            <w:r>
              <w:rPr>
                <w:lang w:eastAsia="zh-CN"/>
              </w:rPr>
              <w:lastRenderedPageBreak/>
              <w:t>vivo</w:t>
            </w:r>
          </w:p>
        </w:tc>
        <w:tc>
          <w:tcPr>
            <w:tcW w:w="1020" w:type="dxa"/>
          </w:tcPr>
          <w:p w14:paraId="5BF04DDC" w14:textId="49BA3CF8" w:rsidR="00847E69" w:rsidRDefault="00847E69" w:rsidP="008D2AE8">
            <w:pPr>
              <w:spacing w:after="0"/>
              <w:rPr>
                <w:lang w:eastAsia="zh-CN"/>
              </w:rPr>
            </w:pPr>
            <w:r>
              <w:rPr>
                <w:lang w:eastAsia="zh-CN"/>
              </w:rPr>
              <w:t>Yes</w:t>
            </w:r>
          </w:p>
        </w:tc>
        <w:tc>
          <w:tcPr>
            <w:tcW w:w="6259" w:type="dxa"/>
          </w:tcPr>
          <w:p w14:paraId="2CE7D494" w14:textId="08C1C3DF" w:rsidR="00847E69" w:rsidRDefault="00847E69" w:rsidP="00847E69">
            <w:pPr>
              <w:rPr>
                <w:lang w:eastAsia="zh-CN"/>
              </w:rPr>
            </w:pPr>
            <w:r>
              <w:t>Same understanding with Rapp. We think there is no need to specify new mechanism for this scenario.</w:t>
            </w: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similar to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lastRenderedPageBreak/>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gNB may not know when the wakeup timer has been configured or re-configured before releasing an NCR-MT to RRC idle. This means that some proprietary solution is need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lastRenderedPageBreak/>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signalling overhead will be introduced and the benefit of sending the NCR to a low power state will be lost, while if the timer is too long the gNB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We do not see a need for a specified solution.  The triggers for NCR-MT to move back to RRC_CONNECTED state can be left to NCR implementation (which may involve the timer or other solutions</w:t>
            </w:r>
            <w:proofErr w:type="gramStart"/>
            <w:r w:rsidRPr="00244408">
              <w:rPr>
                <w:rFonts w:asciiTheme="minorHAnsi" w:hAnsiTheme="minorHAnsi"/>
                <w:lang w:eastAsia="zh-CN"/>
              </w:rPr>
              <w:t xml:space="preserve">).  </w:t>
            </w:r>
            <w:r w:rsidRPr="004943B1">
              <w:rPr>
                <w:rFonts w:asciiTheme="minorHAnsi" w:hAnsiTheme="minorHAnsi"/>
                <w:lang w:eastAsia="zh-CN"/>
              </w:rPr>
              <w:t>.</w:t>
            </w:r>
            <w:proofErr w:type="gramEnd"/>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671F7B16" w:rsidR="000C4027" w:rsidRDefault="000C4027" w:rsidP="00516BBF">
            <w:pPr>
              <w:spacing w:after="0"/>
              <w:rPr>
                <w:lang w:eastAsia="zh-CN"/>
              </w:rPr>
            </w:pPr>
            <w:r>
              <w:rPr>
                <w:lang w:eastAsia="zh-CN"/>
              </w:rPr>
              <w:t>vivo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w:t>
            </w:r>
            <w:r>
              <w:t xml:space="preserve">Otherwise, </w:t>
            </w:r>
            <w:r>
              <w:t>we do not any efficient</w:t>
            </w:r>
            <w:r>
              <w:t xml:space="preserve"> way </w:t>
            </w:r>
            <w:r>
              <w:rPr>
                <w:rFonts w:hint="eastAsia"/>
              </w:rPr>
              <w:t>for</w:t>
            </w:r>
            <w:r>
              <w:t xml:space="preserve"> NCR-MT to get into RRC_CO</w:t>
            </w:r>
            <w:r>
              <w:rPr>
                <w:rFonts w:hint="eastAsia"/>
              </w:rPr>
              <w:t>NNECTED</w:t>
            </w:r>
            <w:r>
              <w:t xml:space="preserve"> state.</w:t>
            </w: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lastRenderedPageBreak/>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w:t>
            </w:r>
            <w:proofErr w:type="gramStart"/>
            <w:r>
              <w:rPr>
                <w:lang w:eastAsia="zh-CN"/>
              </w:rPr>
              <w:t>a</w:t>
            </w:r>
            <w:proofErr w:type="gramEnd"/>
            <w:r>
              <w:rPr>
                <w:lang w:eastAsia="zh-CN"/>
              </w:rPr>
              <w:t xml:space="preserve"> FWD operation state, in particular, because the gNB has no option to pull it out of RRC IDLE </w:t>
            </w:r>
            <w:r>
              <w:rPr>
                <w:lang w:eastAsia="zh-CN"/>
              </w:rPr>
              <w:lastRenderedPageBreak/>
              <w:t xml:space="preserve">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lastRenderedPageBreak/>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gNB wants to release the NCR-MT (for NCR power saving or for NW congestion), the gNB can release it to INACTIVE. We still assume the NCR-MT in IDLE is considered as a kind of unusual case (e.g., similar to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We agreed NCR-</w:t>
            </w:r>
            <w:proofErr w:type="spellStart"/>
            <w:r>
              <w:rPr>
                <w:rFonts w:asciiTheme="minorHAnsi" w:hAnsiTheme="minorHAnsi"/>
                <w:lang w:eastAsia="zh-CN"/>
              </w:rPr>
              <w:t>fwd</w:t>
            </w:r>
            <w:proofErr w:type="spellEnd"/>
            <w:r>
              <w:rPr>
                <w:rFonts w:asciiTheme="minorHAnsi" w:hAnsiTheme="minorHAnsi"/>
                <w:lang w:eastAsia="zh-CN"/>
              </w:rPr>
              <w:t xml:space="preserve"> to be OFF when RLF is detected. To align NCR-MT behavior when it is in RRC_IDLE state, we prefer NCR-</w:t>
            </w:r>
            <w:proofErr w:type="spellStart"/>
            <w:r>
              <w:rPr>
                <w:rFonts w:asciiTheme="minorHAnsi" w:hAnsiTheme="minorHAnsi"/>
                <w:lang w:eastAsia="zh-CN"/>
              </w:rPr>
              <w:t>Fwd</w:t>
            </w:r>
            <w:proofErr w:type="spellEnd"/>
            <w:r>
              <w:rPr>
                <w:rFonts w:asciiTheme="minorHAnsi" w:hAnsiTheme="minorHAnsi"/>
                <w:lang w:eastAsia="zh-CN"/>
              </w:rPr>
              <w:t xml:space="preserve"> to be OFF for simplicity.  Moreover, </w:t>
            </w:r>
            <w:r w:rsidRPr="00580B8C">
              <w:rPr>
                <w:rFonts w:asciiTheme="minorHAnsi" w:hAnsiTheme="minorHAnsi"/>
                <w:lang w:eastAsia="zh-CN"/>
              </w:rPr>
              <w:t>a</w:t>
            </w:r>
            <w:proofErr w:type="spellStart"/>
            <w:r w:rsidRPr="00580B8C">
              <w:rPr>
                <w:rFonts w:asciiTheme="minorHAnsi" w:hAnsiTheme="minorHAnsi"/>
                <w:lang w:val="en-GB" w:eastAsia="zh-CN"/>
              </w:rPr>
              <w:t>ccording</w:t>
            </w:r>
            <w:proofErr w:type="spellEnd"/>
            <w:r>
              <w:rPr>
                <w:lang w:val="en-GB"/>
              </w:rPr>
              <w:t xml:space="preserve"> </w:t>
            </w:r>
            <w:r w:rsidRPr="00580B8C">
              <w:rPr>
                <w:rFonts w:asciiTheme="minorHAnsi" w:hAnsiTheme="minorHAnsi"/>
                <w:lang w:eastAsia="zh-CN"/>
              </w:rPr>
              <w:t xml:space="preserve">to TS 38.331 [2], when UE goes to RRC_IDLE state, the UE shall discard the UE Inactive AS context, as well as release all radio resources, including RLC entity, MAC configuration, etc. The </w:t>
            </w:r>
            <w:proofErr w:type="spellStart"/>
            <w:r w:rsidRPr="00580B8C">
              <w:rPr>
                <w:rFonts w:asciiTheme="minorHAnsi" w:hAnsiTheme="minorHAnsi"/>
                <w:lang w:eastAsia="zh-CN"/>
              </w:rPr>
              <w:t>gNB</w:t>
            </w:r>
            <w:proofErr w:type="spellEnd"/>
            <w:r w:rsidRPr="00580B8C">
              <w:rPr>
                <w:rFonts w:asciiTheme="minorHAnsi" w:hAnsiTheme="minorHAnsi"/>
                <w:lang w:eastAsia="zh-CN"/>
              </w:rPr>
              <w:t xml:space="preserve">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w:t>
            </w:r>
            <w:proofErr w:type="spellStart"/>
            <w:r w:rsidRPr="00580B8C">
              <w:rPr>
                <w:rFonts w:asciiTheme="minorHAnsi" w:hAnsiTheme="minorHAnsi"/>
                <w:lang w:eastAsia="zh-CN"/>
              </w:rPr>
              <w:t>Fwd</w:t>
            </w:r>
            <w:proofErr w:type="spellEnd"/>
            <w:r w:rsidRPr="00580B8C">
              <w:rPr>
                <w:rFonts w:asciiTheme="minorHAnsi" w:hAnsiTheme="minorHAnsi"/>
                <w:lang w:eastAsia="zh-CN"/>
              </w:rPr>
              <w:t xml:space="preserve"> can be turned OFF.</w:t>
            </w:r>
          </w:p>
          <w:p w14:paraId="10B0E283" w14:textId="056A834E" w:rsidR="00401033" w:rsidRDefault="00401033" w:rsidP="00401033">
            <w:pPr>
              <w:spacing w:after="0"/>
              <w:rPr>
                <w:rFonts w:eastAsia="Yu Mincho"/>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t>vivo</w:t>
            </w:r>
          </w:p>
        </w:tc>
        <w:tc>
          <w:tcPr>
            <w:tcW w:w="1228" w:type="dxa"/>
          </w:tcPr>
          <w:p w14:paraId="163CD31B" w14:textId="77777777" w:rsidR="000C4027" w:rsidRDefault="000C4027" w:rsidP="00401033">
            <w:pPr>
              <w:spacing w:after="0"/>
              <w:rPr>
                <w:lang w:eastAsia="zh-CN"/>
              </w:rPr>
            </w:pPr>
          </w:p>
        </w:tc>
        <w:tc>
          <w:tcPr>
            <w:tcW w:w="6284" w:type="dxa"/>
          </w:tcPr>
          <w:p w14:paraId="367B6F5A" w14:textId="3E9DD132" w:rsidR="000C4027" w:rsidRDefault="000C4027" w:rsidP="000C4027">
            <w:pPr>
              <w:rPr>
                <w:lang w:eastAsia="zh-CN"/>
              </w:rPr>
            </w:pPr>
            <w:proofErr w:type="spellStart"/>
            <w:r>
              <w:t>gree</w:t>
            </w:r>
            <w:proofErr w:type="spellEnd"/>
            <w:r>
              <w:t xml:space="preserve"> with Rapp that Option 2 is aligned with principle agreed for RRC_INACTIVE state and no additional specification effort is needed.</w:t>
            </w: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w:t>
      </w:r>
      <w:proofErr w:type="gramEnd"/>
      <w:r w:rsidR="00955329" w:rsidRPr="00955329">
        <w:rPr>
          <w:rFonts w:ascii="Times New Roman" w:hAnsi="Times New Roman"/>
          <w:b/>
          <w:lang w:val="en-GB" w:eastAsia="zh-CN"/>
        </w:rPr>
        <w:t xml:space="preserve">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w:t>
            </w:r>
            <w:proofErr w:type="spellStart"/>
            <w:r>
              <w:rPr>
                <w:rFonts w:asciiTheme="minorHAnsi" w:hAnsiTheme="minorHAnsi"/>
                <w:lang w:eastAsia="zh-CN"/>
              </w:rPr>
              <w:t>Fwd</w:t>
            </w:r>
            <w:proofErr w:type="spellEnd"/>
            <w:r>
              <w:rPr>
                <w:rFonts w:asciiTheme="minorHAnsi" w:hAnsiTheme="minorHAnsi"/>
                <w:lang w:eastAsia="zh-CN"/>
              </w:rPr>
              <w:t xml:space="preserve"> can still stay ON when beam configured by DCI/MAC CE are still active. After beams configured by MAC CE/DCI is inactive, NCR-</w:t>
            </w:r>
            <w:proofErr w:type="spellStart"/>
            <w:r>
              <w:rPr>
                <w:rFonts w:asciiTheme="minorHAnsi" w:hAnsiTheme="minorHAnsi"/>
                <w:lang w:eastAsia="zh-CN"/>
              </w:rPr>
              <w:t>Fwd</w:t>
            </w:r>
            <w:proofErr w:type="spellEnd"/>
            <w:r>
              <w:rPr>
                <w:rFonts w:asciiTheme="minorHAnsi" w:hAnsiTheme="minorHAnsi"/>
                <w:lang w:eastAsia="zh-CN"/>
              </w:rPr>
              <w:t xml:space="preserve">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w:t>
      </w:r>
      <w:proofErr w:type="gramEnd"/>
      <w:r>
        <w:rPr>
          <w:rFonts w:ascii="Times New Roman" w:hAnsi="Times New Roman"/>
          <w:b/>
          <w:lang w:val="en-GB" w:eastAsia="zh-CN"/>
        </w:rPr>
        <w:t xml:space="preserv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19"/>
        <w:gridCol w:w="1137"/>
        <w:gridCol w:w="6394"/>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w:t>
            </w:r>
            <w:r>
              <w:rPr>
                <w:rFonts w:asciiTheme="minorHAnsi" w:hAnsiTheme="minorHAnsi"/>
                <w:lang w:eastAsia="zh-CN"/>
              </w:rPr>
              <w:lastRenderedPageBreak/>
              <w:t xml:space="preserve">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lastRenderedPageBreak/>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w:t>
            </w:r>
            <w:proofErr w:type="gramStart"/>
            <w:r>
              <w:rPr>
                <w:lang w:eastAsia="zh-CN"/>
              </w:rPr>
              <w:t>the  “</w:t>
            </w:r>
            <w:proofErr w:type="gramEnd"/>
            <w:r>
              <w:rPr>
                <w:lang w:eastAsia="zh-CN"/>
              </w:rPr>
              <w:t xml:space="preserve">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gNB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w:t>
            </w:r>
            <w:proofErr w:type="gramStart"/>
            <w:r>
              <w:rPr>
                <w:lang w:eastAsia="zh-CN"/>
              </w:rPr>
              <w:t>the</w:t>
            </w:r>
            <w:r w:rsidR="0054623B">
              <w:rPr>
                <w:lang w:eastAsia="zh-CN"/>
              </w:rPr>
              <w:t xml:space="preserve"> ”last</w:t>
            </w:r>
            <w:proofErr w:type="gramEnd"/>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0B04CC">
        <w:trPr>
          <w:trHeight w:val="278"/>
        </w:trPr>
        <w:tc>
          <w:tcPr>
            <w:tcW w:w="1838" w:type="dxa"/>
          </w:tcPr>
          <w:p w14:paraId="65F75BF2" w14:textId="61A8E9F5" w:rsidR="000F6097" w:rsidRDefault="000F6097" w:rsidP="000F6097">
            <w:pPr>
              <w:spacing w:after="0"/>
              <w:rPr>
                <w:lang w:eastAsia="zh-CN"/>
              </w:rPr>
            </w:pPr>
            <w:r>
              <w:rPr>
                <w:lang w:eastAsia="zh-CN"/>
              </w:rPr>
              <w:t>Qualcomm</w:t>
            </w:r>
          </w:p>
        </w:tc>
        <w:tc>
          <w:tcPr>
            <w:tcW w:w="992" w:type="dxa"/>
          </w:tcPr>
          <w:p w14:paraId="5D8F3D76" w14:textId="2824589D" w:rsidR="000F6097" w:rsidRDefault="000F6097" w:rsidP="000F6097">
            <w:pPr>
              <w:spacing w:after="0"/>
              <w:rPr>
                <w:lang w:eastAsia="zh-CN"/>
              </w:rPr>
            </w:pPr>
            <w:r>
              <w:rPr>
                <w:lang w:eastAsia="zh-CN"/>
              </w:rPr>
              <w:t>Yes</w:t>
            </w:r>
          </w:p>
        </w:tc>
        <w:tc>
          <w:tcPr>
            <w:tcW w:w="6520"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0B04CC">
        <w:trPr>
          <w:trHeight w:val="278"/>
        </w:trPr>
        <w:tc>
          <w:tcPr>
            <w:tcW w:w="1838"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992" w:type="dxa"/>
          </w:tcPr>
          <w:p w14:paraId="6283013C" w14:textId="42963978" w:rsidR="00EE2604" w:rsidRDefault="00EE2604" w:rsidP="00EE2604">
            <w:pPr>
              <w:spacing w:after="0"/>
              <w:rPr>
                <w:lang w:eastAsia="zh-CN"/>
              </w:rPr>
            </w:pPr>
            <w:r>
              <w:rPr>
                <w:rFonts w:eastAsia="Yu Mincho"/>
                <w:lang w:eastAsia="ja-JP"/>
              </w:rPr>
              <w:t>-</w:t>
            </w:r>
          </w:p>
        </w:tc>
        <w:tc>
          <w:tcPr>
            <w:tcW w:w="6520" w:type="dxa"/>
          </w:tcPr>
          <w:p w14:paraId="56D337A2" w14:textId="182788A3" w:rsidR="00EE2604" w:rsidRDefault="00EE2604" w:rsidP="00EE2604">
            <w:pPr>
              <w:spacing w:after="0"/>
              <w:rPr>
                <w:lang w:eastAsia="zh-CN"/>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0B04CC">
        <w:trPr>
          <w:trHeight w:val="278"/>
        </w:trPr>
        <w:tc>
          <w:tcPr>
            <w:tcW w:w="1838" w:type="dxa"/>
          </w:tcPr>
          <w:p w14:paraId="6AD1D13D" w14:textId="237C35CC" w:rsidR="00244408" w:rsidRDefault="00244408" w:rsidP="00244408">
            <w:pPr>
              <w:spacing w:after="0"/>
              <w:rPr>
                <w:rFonts w:eastAsia="Yu Mincho"/>
                <w:lang w:eastAsia="ja-JP"/>
              </w:rPr>
            </w:pPr>
            <w:r>
              <w:rPr>
                <w:rFonts w:asciiTheme="minorHAnsi" w:hAnsiTheme="minorHAnsi"/>
                <w:lang w:eastAsia="zh-CN"/>
              </w:rPr>
              <w:t>Intel</w:t>
            </w:r>
          </w:p>
        </w:tc>
        <w:tc>
          <w:tcPr>
            <w:tcW w:w="992"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520"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w:t>
            </w:r>
            <w:proofErr w:type="spellStart"/>
            <w:r>
              <w:rPr>
                <w:rFonts w:asciiTheme="minorHAnsi" w:hAnsiTheme="minorHAnsi"/>
                <w:lang w:eastAsia="zh-CN"/>
              </w:rPr>
              <w:t>signalling</w:t>
            </w:r>
            <w:proofErr w:type="spellEnd"/>
            <w:r>
              <w:rPr>
                <w:rFonts w:asciiTheme="minorHAnsi" w:hAnsiTheme="minorHAnsi"/>
                <w:lang w:eastAsia="zh-CN"/>
              </w:rPr>
              <w:t xml:space="preserve"> optimization – if the configuration is retained, delta configuration can be </w:t>
            </w:r>
            <w:bookmarkStart w:id="38" w:name="_GoBack"/>
            <w:bookmarkEnd w:id="38"/>
            <w:r>
              <w:rPr>
                <w:rFonts w:asciiTheme="minorHAnsi" w:hAnsiTheme="minorHAnsi"/>
                <w:lang w:eastAsia="zh-CN"/>
              </w:rPr>
              <w:t xml:space="preserve">applied in the Resume message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0B04CC">
        <w:trPr>
          <w:trHeight w:val="278"/>
        </w:trPr>
        <w:tc>
          <w:tcPr>
            <w:tcW w:w="1838" w:type="dxa"/>
          </w:tcPr>
          <w:p w14:paraId="18382518" w14:textId="19A9DC21" w:rsidR="00CA4872" w:rsidRDefault="00CA4872" w:rsidP="00244408">
            <w:pPr>
              <w:spacing w:after="0"/>
              <w:rPr>
                <w:lang w:eastAsia="zh-CN"/>
              </w:rPr>
            </w:pPr>
            <w:r>
              <w:rPr>
                <w:lang w:eastAsia="zh-CN"/>
              </w:rPr>
              <w:t>vivo</w:t>
            </w:r>
          </w:p>
        </w:tc>
        <w:tc>
          <w:tcPr>
            <w:tcW w:w="992" w:type="dxa"/>
          </w:tcPr>
          <w:p w14:paraId="3CF3BE05" w14:textId="4F71759A" w:rsidR="00CA4872" w:rsidRDefault="00CA4872" w:rsidP="00244408">
            <w:pPr>
              <w:spacing w:after="0"/>
              <w:rPr>
                <w:lang w:eastAsia="zh-CN"/>
              </w:rPr>
            </w:pPr>
            <w:r>
              <w:rPr>
                <w:lang w:eastAsia="zh-CN"/>
              </w:rPr>
              <w:t>Yes</w:t>
            </w:r>
          </w:p>
        </w:tc>
        <w:tc>
          <w:tcPr>
            <w:tcW w:w="6520" w:type="dxa"/>
          </w:tcPr>
          <w:p w14:paraId="6DCD9769" w14:textId="7CD0866F" w:rsidR="00CA4872" w:rsidRDefault="00CA4872" w:rsidP="00244408">
            <w:pPr>
              <w:spacing w:after="0"/>
              <w:rPr>
                <w:lang w:eastAsia="zh-CN"/>
              </w:rPr>
            </w:pPr>
            <w:r>
              <w:rPr>
                <w:lang w:eastAsia="zh-CN"/>
              </w:rPr>
              <w:t>Agree with Rapp.</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case we should definitively send them </w:t>
            </w:r>
            <w:proofErr w:type="gramStart"/>
            <w:r>
              <w:rPr>
                <w:rFonts w:asciiTheme="minorHAnsi" w:hAnsiTheme="minorHAnsi"/>
                <w:lang w:eastAsia="zh-CN"/>
              </w:rPr>
              <w:t>an</w:t>
            </w:r>
            <w:proofErr w:type="gramEnd"/>
            <w:r>
              <w:rPr>
                <w:rFonts w:asciiTheme="minorHAnsi" w:hAnsiTheme="minorHAnsi"/>
                <w:lang w:eastAsia="zh-CN"/>
              </w:rPr>
              <w:t xml:space="preserve">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3D55691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lastRenderedPageBreak/>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Similar to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lastRenderedPageBreak/>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7BB94C0C" w14:textId="53B38220" w:rsidR="000F6097" w:rsidRPr="00467409"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7513" w:type="dxa"/>
          </w:tcPr>
          <w:p w14:paraId="7A653036"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C56D885" w14:textId="16F78F51" w:rsidR="009B233F" w:rsidRPr="00467409" w:rsidRDefault="009B233F" w:rsidP="009B233F">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ndrew Lappalainen (Nokia)" w:date="2023-03-27T14:15:00Z" w:initials="AL(">
    <w:p w14:paraId="6DABFF98" w14:textId="5ED81385" w:rsidR="009F2582" w:rsidRDefault="009F2582">
      <w:pPr>
        <w:pStyle w:val="CommentText"/>
      </w:pPr>
      <w:r>
        <w:t xml:space="preserve">Order of </w:t>
      </w:r>
      <w:r>
        <w:rPr>
          <w:rStyle w:val="CommentReference"/>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E401" w14:textId="77777777" w:rsidR="00A82573" w:rsidRDefault="00A82573" w:rsidP="00094E6A">
      <w:pPr>
        <w:spacing w:after="0"/>
      </w:pPr>
      <w:r>
        <w:separator/>
      </w:r>
    </w:p>
  </w:endnote>
  <w:endnote w:type="continuationSeparator" w:id="0">
    <w:p w14:paraId="019702F8" w14:textId="77777777" w:rsidR="00A82573" w:rsidRDefault="00A82573" w:rsidP="00094E6A">
      <w:pPr>
        <w:spacing w:after="0"/>
      </w:pPr>
      <w:r>
        <w:continuationSeparator/>
      </w:r>
    </w:p>
  </w:endnote>
  <w:endnote w:type="continuationNotice" w:id="1">
    <w:p w14:paraId="1A94AAAF" w14:textId="77777777" w:rsidR="00A82573" w:rsidRDefault="00A82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UI"/>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HGGothicE"/>
    <w:charset w:val="00"/>
    <w:family w:val="roman"/>
    <w:pitch w:val="default"/>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7EB0" w14:textId="77777777" w:rsidR="00A82573" w:rsidRDefault="00A82573" w:rsidP="00094E6A">
      <w:pPr>
        <w:spacing w:after="0"/>
      </w:pPr>
      <w:r>
        <w:separator/>
      </w:r>
    </w:p>
  </w:footnote>
  <w:footnote w:type="continuationSeparator" w:id="0">
    <w:p w14:paraId="691E3B95" w14:textId="77777777" w:rsidR="00A82573" w:rsidRDefault="00A82573" w:rsidP="00094E6A">
      <w:pPr>
        <w:spacing w:after="0"/>
      </w:pPr>
      <w:r>
        <w:continuationSeparator/>
      </w:r>
    </w:p>
  </w:footnote>
  <w:footnote w:type="continuationNotice" w:id="1">
    <w:p w14:paraId="12064455" w14:textId="77777777" w:rsidR="00A82573" w:rsidRDefault="00A825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23"/>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6"/>
  </w:num>
  <w:num w:numId="20">
    <w:abstractNumId w:val="9"/>
  </w:num>
  <w:num w:numId="21">
    <w:abstractNumId w:val="14"/>
  </w:num>
  <w:num w:numId="22">
    <w:abstractNumId w:val="3"/>
  </w:num>
  <w:num w:numId="23">
    <w:abstractNumId w:val="2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4"/>
  </w:num>
  <w:num w:numId="28">
    <w:abstractNumId w:val="22"/>
  </w:num>
  <w:num w:numId="29">
    <w:abstractNumId w:val="11"/>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宋体"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宋体"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宋体"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C03F9-3AFC-4FEF-B604-D8C3D2B6102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11</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vivo(Boubacar)</cp:lastModifiedBy>
  <cp:revision>32</cp:revision>
  <dcterms:created xsi:type="dcterms:W3CDTF">2023-03-28T21:46:00Z</dcterms:created>
  <dcterms:modified xsi:type="dcterms:W3CDTF">2023-03-30T02:33:00Z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