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Heading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ListParagraph"/>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ListParagraph"/>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L</w:t>
            </w:r>
            <w:r>
              <w:rPr>
                <w:rFonts w:ascii="Times New Roman" w:eastAsiaTheme="minorEastAsia" w:hAnsi="Times New Roman"/>
                <w:lang w:eastAsia="zh-CN"/>
              </w:rPr>
              <w:t>iuJing</w:t>
            </w:r>
            <w:proofErr w:type="spellEnd"/>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77777777" w:rsidR="009C1FDC" w:rsidRPr="009C1FDC" w:rsidRDefault="009C1FDC" w:rsidP="006B4DA0">
            <w:pPr>
              <w:spacing w:after="0"/>
              <w:rPr>
                <w:rFonts w:ascii="Times New Roman" w:eastAsia="Malgun Gothic" w:hAnsi="Times New Roman"/>
                <w:lang w:eastAsia="ko-KR"/>
              </w:rPr>
            </w:pPr>
          </w:p>
        </w:tc>
        <w:tc>
          <w:tcPr>
            <w:tcW w:w="2478" w:type="dxa"/>
          </w:tcPr>
          <w:p w14:paraId="2A0A30E0" w14:textId="77777777" w:rsidR="009C1FDC" w:rsidRPr="009C1FDC" w:rsidRDefault="009C1FDC" w:rsidP="006B4DA0">
            <w:pPr>
              <w:spacing w:after="0"/>
              <w:rPr>
                <w:rFonts w:ascii="Times New Roman" w:eastAsia="Malgun Gothic" w:hAnsi="Times New Roman"/>
                <w:lang w:eastAsia="ko-KR"/>
              </w:rPr>
            </w:pPr>
          </w:p>
        </w:tc>
        <w:tc>
          <w:tcPr>
            <w:tcW w:w="4657" w:type="dxa"/>
          </w:tcPr>
          <w:p w14:paraId="6401C841" w14:textId="77777777" w:rsidR="009C1FDC" w:rsidRPr="009C1FDC" w:rsidRDefault="009C1FDC" w:rsidP="006B4DA0">
            <w:pPr>
              <w:spacing w:after="0"/>
              <w:rPr>
                <w:rFonts w:ascii="Times New Roman" w:eastAsia="Malgun Gothic" w:hAnsi="Times New Roman"/>
                <w:lang w:eastAsia="ko-KR"/>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Heading1"/>
        <w:rPr>
          <w:rFonts w:ascii="Times New Roman" w:eastAsia="SimSun" w:hAnsi="Times New Roman" w:cs="Times New Roman"/>
          <w:lang w:val="en-US" w:eastAsia="zh-CN"/>
        </w:rPr>
      </w:pPr>
      <w:r w:rsidRPr="0041589D">
        <w:rPr>
          <w:rFonts w:ascii="Times New Roman" w:eastAsia="SimSun" w:hAnsi="Times New Roman" w:cs="Times New Roman"/>
          <w:lang w:val="en-US" w:eastAsia="zh-CN"/>
        </w:rPr>
        <w:t>Discussion</w:t>
      </w:r>
    </w:p>
    <w:p w14:paraId="71E352F8" w14:textId="2BEF6A9D" w:rsidR="00610DC3" w:rsidRPr="00D21722" w:rsidRDefault="00610DC3" w:rsidP="00610DC3">
      <w:pPr>
        <w:pStyle w:val="Heading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Heading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TableGrid"/>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t>In NCR-MT capability discussion, to focus on mandatory features that are required for NCR-MT.</w:t>
            </w:r>
          </w:p>
          <w:p w14:paraId="170E2FF3" w14:textId="16447B4E" w:rsidR="000B16DE" w:rsidRPr="000B16DE" w:rsidRDefault="000B16DE" w:rsidP="00D927D9">
            <w:pPr>
              <w:pStyle w:val="Agreement"/>
            </w:pPr>
            <w:r w:rsidRPr="00170C67">
              <w:lastRenderedPageBreak/>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Heading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TableGrid"/>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TableGrid"/>
              <w:tblW w:w="9245" w:type="dxa"/>
              <w:tblLook w:val="04A0" w:firstRow="1" w:lastRow="0" w:firstColumn="1" w:lastColumn="0" w:noHBand="0" w:noVBand="1"/>
            </w:tblPr>
            <w:tblGrid>
              <w:gridCol w:w="1080"/>
              <w:gridCol w:w="864"/>
              <w:gridCol w:w="1224"/>
              <w:gridCol w:w="2726"/>
              <w:gridCol w:w="1475"/>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r w:rsidRPr="001106B3">
                    <w:rPr>
                      <w:rFonts w:ascii="ArialMT" w:eastAsia="Times New Roman" w:hAnsi="ArialMT"/>
                      <w:color w:val="000000"/>
                      <w:sz w:val="18"/>
                      <w:szCs w:val="18"/>
                      <w:lang w:eastAsia="zh-CN"/>
                    </w:rPr>
                    <w:t>6) Duplicate discarding</w:t>
                  </w:r>
                  <w:commentRangeEnd w:id="1"/>
                  <w:r w:rsidR="00F25070">
                    <w:rPr>
                      <w:rStyle w:val="CommentReference"/>
                      <w:rFonts w:asciiTheme="minorHAnsi" w:hAnsiTheme="minorHAnsi"/>
                    </w:rPr>
                    <w:commentReference w:id="1"/>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t>2) RLC AM with 18bits SN</w:t>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lastRenderedPageBreak/>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MR-DC related feature to be </w:t>
                  </w:r>
                  <w:r>
                    <w:rPr>
                      <w:rFonts w:ascii="ArialMT" w:eastAsia="Times New Roman" w:hAnsi="ArialMT"/>
                      <w:color w:val="000000"/>
                      <w:sz w:val="18"/>
                      <w:szCs w:val="18"/>
                      <w:highlight w:val="yellow"/>
                      <w:lang w:eastAsia="zh-CN"/>
                    </w:rPr>
                    <w:lastRenderedPageBreak/>
                    <w:t>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TableGrid"/>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TableGrid"/>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proofErr w:type="gramStart"/>
            <w:r w:rsidRPr="00F54277">
              <w:rPr>
                <w:rFonts w:asciiTheme="minorHAnsi" w:eastAsia="Yu Mincho" w:hAnsiTheme="minorHAnsi" w:cstheme="minorHAnsi"/>
                <w:lang w:eastAsia="ja-JP"/>
              </w:rPr>
              <w:t>Yes</w:t>
            </w:r>
            <w:proofErr w:type="gramEnd"/>
            <w:r w:rsidRPr="00F54277">
              <w:rPr>
                <w:rFonts w:asciiTheme="minorHAnsi" w:eastAsia="Yu Mincho" w:hAnsiTheme="minorHAnsi" w:cstheme="minorHAnsi"/>
                <w:lang w:eastAsia="ja-JP"/>
              </w:rPr>
              <w:t xml:space="preserve">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proofErr w:type="spellStart"/>
            <w:r>
              <w:rPr>
                <w:rFonts w:asciiTheme="minorHAnsi" w:hAnsiTheme="minorHAnsi" w:hint="eastAsia"/>
                <w:lang w:eastAsia="zh-CN"/>
              </w:rPr>
              <w:t>R</w:t>
            </w:r>
            <w:r>
              <w:rPr>
                <w:rFonts w:asciiTheme="minorHAnsi" w:hAnsiTheme="minorHAnsi"/>
                <w:lang w:eastAsia="zh-CN"/>
              </w:rPr>
              <w:t>econfigurationWithSync</w:t>
            </w:r>
            <w:proofErr w:type="spellEnd"/>
            <w:r>
              <w:rPr>
                <w:rFonts w:asciiTheme="minorHAnsi" w:hAnsiTheme="minorHAnsi"/>
                <w:lang w:eastAsia="zh-CN"/>
              </w:rPr>
              <w:t xml:space="preserve">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ListParagraph"/>
              <w:numPr>
                <w:ilvl w:val="0"/>
                <w:numId w:val="21"/>
              </w:numPr>
              <w:spacing w:after="0"/>
              <w:rPr>
                <w:sz w:val="21"/>
                <w:lang w:eastAsia="zh-CN"/>
              </w:rPr>
            </w:pPr>
            <w:r w:rsidRPr="00712734">
              <w:rPr>
                <w:rFonts w:eastAsiaTheme="minorEastAsia"/>
                <w:sz w:val="21"/>
                <w:lang w:eastAsia="zh-CN"/>
              </w:rPr>
              <w:t>key refresh due to PDCP wrap around;</w:t>
            </w:r>
          </w:p>
          <w:p w14:paraId="5AB9F0F2" w14:textId="1BE9058B" w:rsidR="001C68CA" w:rsidRPr="001C68CA" w:rsidRDefault="00712734" w:rsidP="00712734">
            <w:pPr>
              <w:pStyle w:val="ListParagraph"/>
              <w:numPr>
                <w:ilvl w:val="0"/>
                <w:numId w:val="21"/>
              </w:numPr>
              <w:spacing w:after="0"/>
              <w:rPr>
                <w:sz w:val="21"/>
                <w:lang w:eastAsia="zh-CN"/>
              </w:rPr>
            </w:pPr>
            <w:r>
              <w:rPr>
                <w:rFonts w:eastAsiaTheme="minorEastAsia"/>
                <w:sz w:val="21"/>
                <w:lang w:eastAsia="zh-CN"/>
              </w:rPr>
              <w:lastRenderedPageBreak/>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w:t>
            </w:r>
            <w:proofErr w:type="spellStart"/>
            <w:r>
              <w:rPr>
                <w:rFonts w:ascii="Calibri" w:hAnsi="Calibri"/>
                <w:sz w:val="21"/>
                <w:lang w:eastAsia="zh-CN"/>
              </w:rPr>
              <w:t>reconfigurationWithSync</w:t>
            </w:r>
            <w:proofErr w:type="spellEnd"/>
            <w:r>
              <w:rPr>
                <w:rFonts w:ascii="Calibri" w:hAnsi="Calibri"/>
                <w:sz w:val="21"/>
                <w:lang w:eastAsia="zh-CN"/>
              </w:rPr>
              <w:t xml:space="preserve">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  in specification, and</w:t>
            </w:r>
            <w:r w:rsidR="001B78D9">
              <w:rPr>
                <w:rFonts w:ascii="Calibri" w:hAnsi="Calibri"/>
                <w:sz w:val="21"/>
                <w:lang w:eastAsia="zh-CN"/>
              </w:rPr>
              <w:t xml:space="preserve"> the</w:t>
            </w:r>
            <w:r w:rsidR="003E58EA">
              <w:rPr>
                <w:rFonts w:ascii="Calibri" w:hAnsi="Calibri"/>
                <w:sz w:val="21"/>
                <w:lang w:eastAsia="zh-CN"/>
              </w:rPr>
              <w:t xml:space="preserve"> “handover” means “</w:t>
            </w:r>
            <w:proofErr w:type="spellStart"/>
            <w:r w:rsidR="003E58EA">
              <w:rPr>
                <w:rFonts w:ascii="Calibri" w:hAnsi="Calibri"/>
                <w:sz w:val="21"/>
                <w:lang w:eastAsia="zh-CN"/>
              </w:rPr>
              <w:t>reconfigurationWithSync</w:t>
            </w:r>
            <w:proofErr w:type="spellEnd"/>
            <w:r w:rsidR="003E58EA">
              <w:rPr>
                <w:rFonts w:ascii="Calibri" w:hAnsi="Calibri"/>
                <w:sz w:val="21"/>
                <w:lang w:eastAsia="zh-CN"/>
              </w:rPr>
              <w:t xml:space="preserve">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lastRenderedPageBreak/>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Heading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TableGrid"/>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ListParagraph"/>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164DF3" w:rsidRPr="00467409" w14:paraId="2BC11D7B" w14:textId="77777777" w:rsidTr="00EB7FBF">
        <w:tc>
          <w:tcPr>
            <w:tcW w:w="2078" w:type="dxa"/>
          </w:tcPr>
          <w:p w14:paraId="1AC2B9C1"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EB7FBF">
        <w:tc>
          <w:tcPr>
            <w:tcW w:w="2078" w:type="dxa"/>
          </w:tcPr>
          <w:p w14:paraId="2A94D007" w14:textId="1D61021B" w:rsidR="00164DF3" w:rsidRPr="00F54277" w:rsidRDefault="00F54277"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EB7FBF">
            <w:pPr>
              <w:spacing w:after="0"/>
              <w:rPr>
                <w:rFonts w:asciiTheme="minorHAnsi" w:hAnsiTheme="minorHAnsi"/>
                <w:lang w:eastAsia="zh-CN"/>
              </w:rPr>
            </w:pPr>
          </w:p>
        </w:tc>
      </w:tr>
      <w:tr w:rsidR="00164DF3" w:rsidRPr="00467409" w14:paraId="209434F0" w14:textId="77777777" w:rsidTr="00EB7FBF">
        <w:tc>
          <w:tcPr>
            <w:tcW w:w="2078" w:type="dxa"/>
          </w:tcPr>
          <w:p w14:paraId="434F73B7" w14:textId="063B3E83"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EB7FBF">
            <w:pPr>
              <w:spacing w:after="0"/>
              <w:rPr>
                <w:rFonts w:asciiTheme="minorHAnsi" w:hAnsiTheme="minorHAnsi"/>
                <w:lang w:eastAsia="zh-CN"/>
              </w:rPr>
            </w:pPr>
          </w:p>
        </w:tc>
      </w:tr>
      <w:tr w:rsidR="00164DF3" w:rsidRPr="00467409" w14:paraId="3754131E" w14:textId="77777777" w:rsidTr="00EB7FBF">
        <w:tc>
          <w:tcPr>
            <w:tcW w:w="2078" w:type="dxa"/>
          </w:tcPr>
          <w:p w14:paraId="70BFA5BD" w14:textId="13C94151" w:rsidR="00164DF3" w:rsidRPr="00467409" w:rsidRDefault="00F25070" w:rsidP="00EB7FBF">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EB7FBF">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EB7FBF">
            <w:pPr>
              <w:spacing w:after="0"/>
              <w:rPr>
                <w:rFonts w:asciiTheme="minorHAnsi" w:hAnsiTheme="minorHAnsi"/>
                <w:lang w:eastAsia="zh-CN"/>
              </w:rPr>
            </w:pPr>
          </w:p>
        </w:tc>
      </w:tr>
    </w:tbl>
    <w:p w14:paraId="2A0B83E7" w14:textId="77777777" w:rsidR="00DD3C07" w:rsidRDefault="00DD3C07" w:rsidP="00D21722"/>
    <w:p w14:paraId="4FAA4F5E" w14:textId="34E75743" w:rsidR="00AF6218" w:rsidRPr="00BA45E1" w:rsidRDefault="00AF6218" w:rsidP="00D21722">
      <w:pPr>
        <w:pStyle w:val="Heading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e.g.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TableGrid"/>
        <w:tblW w:w="0" w:type="auto"/>
        <w:tblLook w:val="04A0" w:firstRow="1" w:lastRow="0" w:firstColumn="1" w:lastColumn="0" w:noHBand="0" w:noVBand="1"/>
      </w:tblPr>
      <w:tblGrid>
        <w:gridCol w:w="2078"/>
        <w:gridCol w:w="988"/>
        <w:gridCol w:w="6284"/>
      </w:tblGrid>
      <w:tr w:rsidR="002B7D6A" w:rsidRPr="00467409" w14:paraId="5DF4ADA7" w14:textId="77777777" w:rsidTr="00EB7FBF">
        <w:tc>
          <w:tcPr>
            <w:tcW w:w="2078" w:type="dxa"/>
          </w:tcPr>
          <w:p w14:paraId="6CF2F1F2"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EB7FBF">
        <w:tc>
          <w:tcPr>
            <w:tcW w:w="2078" w:type="dxa"/>
          </w:tcPr>
          <w:p w14:paraId="0EB6BCA9" w14:textId="4D1DDA59"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EB7FBF">
            <w:pPr>
              <w:spacing w:after="0"/>
              <w:rPr>
                <w:rFonts w:asciiTheme="minorHAnsi" w:hAnsiTheme="minorHAnsi"/>
                <w:lang w:eastAsia="zh-CN"/>
              </w:rPr>
            </w:pPr>
          </w:p>
        </w:tc>
      </w:tr>
      <w:tr w:rsidR="002B7D6A" w:rsidRPr="00467409" w14:paraId="6525B978" w14:textId="77777777" w:rsidTr="00EB7FBF">
        <w:tc>
          <w:tcPr>
            <w:tcW w:w="2078" w:type="dxa"/>
          </w:tcPr>
          <w:p w14:paraId="5864545A" w14:textId="55DDA729"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EB7FBF">
            <w:pPr>
              <w:spacing w:after="0"/>
              <w:rPr>
                <w:rFonts w:asciiTheme="minorHAnsi" w:hAnsiTheme="minorHAnsi"/>
                <w:lang w:eastAsia="zh-CN"/>
              </w:rPr>
            </w:pPr>
          </w:p>
        </w:tc>
      </w:tr>
      <w:tr w:rsidR="002B7D6A" w:rsidRPr="00467409" w14:paraId="1E993B6B" w14:textId="77777777" w:rsidTr="00EB7FBF">
        <w:tc>
          <w:tcPr>
            <w:tcW w:w="2078" w:type="dxa"/>
          </w:tcPr>
          <w:p w14:paraId="73492BED" w14:textId="6BCC7F7C" w:rsidR="002B7D6A" w:rsidRPr="00467409" w:rsidRDefault="00F25070" w:rsidP="00EB7FBF">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EB7FBF">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EB7FBF">
            <w:pPr>
              <w:spacing w:after="0"/>
              <w:rPr>
                <w:rFonts w:asciiTheme="minorHAnsi" w:hAnsiTheme="minorHAnsi"/>
                <w:lang w:eastAsia="zh-CN"/>
              </w:rPr>
            </w:pPr>
          </w:p>
        </w:tc>
      </w:tr>
    </w:tbl>
    <w:p w14:paraId="42666D1A" w14:textId="77777777" w:rsidR="00DD3C07" w:rsidRDefault="00DD3C07" w:rsidP="00D21722"/>
    <w:p w14:paraId="005BAB19" w14:textId="16CFF13D" w:rsidR="00AF6218" w:rsidRPr="00BA45E1" w:rsidRDefault="00AF6218" w:rsidP="00D21722">
      <w:pPr>
        <w:pStyle w:val="Heading5"/>
      </w:pPr>
      <w:r>
        <w:lastRenderedPageBreak/>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TableGrid"/>
        <w:tblW w:w="0" w:type="auto"/>
        <w:tblLook w:val="04A0" w:firstRow="1" w:lastRow="0" w:firstColumn="1" w:lastColumn="0" w:noHBand="0" w:noVBand="1"/>
      </w:tblPr>
      <w:tblGrid>
        <w:gridCol w:w="2078"/>
        <w:gridCol w:w="988"/>
        <w:gridCol w:w="6284"/>
      </w:tblGrid>
      <w:tr w:rsidR="00AF6218" w:rsidRPr="004F564B" w14:paraId="48346723" w14:textId="77777777" w:rsidTr="00FB5745">
        <w:tc>
          <w:tcPr>
            <w:tcW w:w="2078" w:type="dxa"/>
          </w:tcPr>
          <w:p w14:paraId="772D7BAA"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FB5745">
        <w:tc>
          <w:tcPr>
            <w:tcW w:w="2078" w:type="dxa"/>
          </w:tcPr>
          <w:p w14:paraId="1D657E9C" w14:textId="4069C730"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FB5745">
            <w:pPr>
              <w:spacing w:after="0"/>
              <w:rPr>
                <w:rFonts w:asciiTheme="minorHAnsi" w:hAnsiTheme="minorHAnsi"/>
                <w:lang w:eastAsia="zh-CN"/>
              </w:rPr>
            </w:pPr>
          </w:p>
        </w:tc>
      </w:tr>
      <w:tr w:rsidR="00AF6218" w:rsidRPr="004F564B" w14:paraId="30189F05" w14:textId="77777777" w:rsidTr="00FB5745">
        <w:tc>
          <w:tcPr>
            <w:tcW w:w="2078" w:type="dxa"/>
          </w:tcPr>
          <w:p w14:paraId="4B6B5146" w14:textId="0EF475D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FB5745">
            <w:pPr>
              <w:spacing w:after="0"/>
              <w:rPr>
                <w:rFonts w:asciiTheme="minorHAnsi" w:hAnsiTheme="minorHAnsi"/>
                <w:lang w:eastAsia="zh-CN"/>
              </w:rPr>
            </w:pPr>
          </w:p>
        </w:tc>
      </w:tr>
      <w:tr w:rsidR="00AF6218" w:rsidRPr="004F564B" w14:paraId="0662CA18" w14:textId="77777777" w:rsidTr="00FB5745">
        <w:tc>
          <w:tcPr>
            <w:tcW w:w="2078" w:type="dxa"/>
          </w:tcPr>
          <w:p w14:paraId="3B996247" w14:textId="75331E68" w:rsidR="00AF6218" w:rsidRPr="00467409" w:rsidRDefault="00F25070" w:rsidP="00FB5745">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FB5745">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FB5745">
            <w:pPr>
              <w:spacing w:after="0"/>
              <w:rPr>
                <w:rFonts w:asciiTheme="minorHAnsi" w:hAnsiTheme="minorHAnsi"/>
                <w:lang w:eastAsia="zh-CN"/>
              </w:rPr>
            </w:pPr>
          </w:p>
        </w:tc>
      </w:tr>
    </w:tbl>
    <w:p w14:paraId="7E8F2F9A" w14:textId="4529B89E" w:rsidR="00D103C6" w:rsidRDefault="004814E7" w:rsidP="00D21722">
      <w:pPr>
        <w:pStyle w:val="Heading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AF6218" w:rsidRPr="004F564B" w14:paraId="6EF8FC23" w14:textId="77777777" w:rsidTr="00FB5745">
        <w:tc>
          <w:tcPr>
            <w:tcW w:w="2078" w:type="dxa"/>
          </w:tcPr>
          <w:p w14:paraId="014B33ED"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FB5745">
        <w:tc>
          <w:tcPr>
            <w:tcW w:w="2078" w:type="dxa"/>
          </w:tcPr>
          <w:p w14:paraId="60EDC871" w14:textId="31561B5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FB5745">
            <w:pPr>
              <w:spacing w:after="0"/>
              <w:rPr>
                <w:rFonts w:asciiTheme="minorHAnsi" w:hAnsiTheme="minorHAnsi"/>
                <w:lang w:eastAsia="zh-CN"/>
              </w:rPr>
            </w:pPr>
          </w:p>
        </w:tc>
      </w:tr>
      <w:tr w:rsidR="00AF6218" w:rsidRPr="004F564B" w14:paraId="10B76D67" w14:textId="77777777" w:rsidTr="00FB5745">
        <w:tc>
          <w:tcPr>
            <w:tcW w:w="2078" w:type="dxa"/>
          </w:tcPr>
          <w:p w14:paraId="75D862C7" w14:textId="4A504B8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FB5745">
            <w:pPr>
              <w:spacing w:after="0"/>
              <w:rPr>
                <w:rFonts w:asciiTheme="minorHAnsi" w:hAnsiTheme="minorHAnsi"/>
                <w:lang w:eastAsia="zh-CN"/>
              </w:rPr>
            </w:pPr>
          </w:p>
        </w:tc>
      </w:tr>
      <w:tr w:rsidR="00AF6218" w:rsidRPr="004F564B" w14:paraId="22DD21C5" w14:textId="77777777" w:rsidTr="00FB5745">
        <w:tc>
          <w:tcPr>
            <w:tcW w:w="2078" w:type="dxa"/>
          </w:tcPr>
          <w:p w14:paraId="67ECCEA0" w14:textId="1616492E" w:rsidR="00AF6218" w:rsidRPr="00467409" w:rsidRDefault="00F25070" w:rsidP="00FB5745">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FB5745">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FB5745">
            <w:pPr>
              <w:spacing w:after="0"/>
              <w:rPr>
                <w:rFonts w:asciiTheme="minorHAnsi" w:hAnsiTheme="minorHAnsi"/>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TableGrid"/>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(e.g. QoS, SDAP header) parameters</w:t>
            </w:r>
          </w:p>
        </w:tc>
        <w:tc>
          <w:tcPr>
            <w:tcW w:w="1710" w:type="dxa"/>
          </w:tcPr>
          <w:p w14:paraId="14D6BC4F" w14:textId="5D2C45F3" w:rsidR="002B7D6A" w:rsidRDefault="002B7D6A" w:rsidP="006B4DA0">
            <w:pPr>
              <w:spacing w:after="0"/>
              <w:rPr>
                <w:rFonts w:eastAsiaTheme="minorEastAsia"/>
                <w:b/>
                <w:lang w:eastAsia="zh-CN"/>
              </w:rPr>
            </w:pPr>
            <w:r w:rsidRPr="00040C2A">
              <w:rPr>
                <w:rFonts w:asciiTheme="minorHAnsi" w:eastAsiaTheme="minorEastAsia" w:hAnsiTheme="minorHAnsi"/>
                <w:b/>
                <w:lang w:eastAsia="zh-CN"/>
              </w:rPr>
              <w:t>SRB2 without DRB</w:t>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lastRenderedPageBreak/>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bl>
    <w:p w14:paraId="6BD92A39" w14:textId="6CFBC69D" w:rsidR="00D927D9" w:rsidRDefault="00D927D9" w:rsidP="00D927D9">
      <w:pPr>
        <w:pStyle w:val="Heading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 xml:space="preserve">If other handover related features, </w:t>
      </w:r>
      <w:proofErr w:type="gramStart"/>
      <w:r w:rsidRPr="00D21722">
        <w:rPr>
          <w:rFonts w:ascii="Times New Roman" w:hAnsi="Times New Roman"/>
          <w:lang w:val="en-GB" w:eastAsia="zh-CN"/>
        </w:rPr>
        <w:t>e.g.</w:t>
      </w:r>
      <w:proofErr w:type="gramEnd"/>
      <w:r w:rsidRPr="00D21722">
        <w:rPr>
          <w:rFonts w:ascii="Times New Roman" w:hAnsi="Times New Roman"/>
          <w:lang w:val="en-GB" w:eastAsia="zh-CN"/>
        </w:rPr>
        <w:t xml:space="preserve">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TableGrid"/>
        <w:tblW w:w="0" w:type="auto"/>
        <w:tblLook w:val="04A0" w:firstRow="1" w:lastRow="0" w:firstColumn="1" w:lastColumn="0" w:noHBand="0" w:noVBand="1"/>
      </w:tblPr>
      <w:tblGrid>
        <w:gridCol w:w="9350"/>
      </w:tblGrid>
      <w:tr w:rsidR="00283FC5" w:rsidRPr="00F2384B" w14:paraId="48473682" w14:textId="77777777" w:rsidTr="00EB7FBF">
        <w:tc>
          <w:tcPr>
            <w:tcW w:w="9350" w:type="dxa"/>
          </w:tcPr>
          <w:p w14:paraId="4D3D6B39" w14:textId="77777777" w:rsidR="00283FC5" w:rsidRPr="00D21722" w:rsidRDefault="00283FC5" w:rsidP="00EB7FBF">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TableGrid"/>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TableGrid"/>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TableGrid"/>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lastRenderedPageBreak/>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TableGrid"/>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bl>
    <w:p w14:paraId="465267F6" w14:textId="3B1602EA" w:rsidR="00E02F67" w:rsidRDefault="00E02F67" w:rsidP="00E02F67">
      <w:pPr>
        <w:pStyle w:val="Heading3"/>
        <w:rPr>
          <w:lang w:eastAsia="zh-CN"/>
        </w:rPr>
      </w:pPr>
      <w:r>
        <w:rPr>
          <w:lang w:eastAsia="zh-CN"/>
        </w:rPr>
        <w:lastRenderedPageBreak/>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TableGrid"/>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Heading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Heading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Heading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w:t>
      </w:r>
      <w:proofErr w:type="spellStart"/>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 Tony" w:date="2023-03-23T16:29:00Z" w:initials="E">
    <w:p w14:paraId="446CEC01" w14:textId="78971987" w:rsidR="00F25070" w:rsidRDefault="00F25070">
      <w:pPr>
        <w:pStyle w:val="CommentText"/>
      </w:pPr>
      <w:r>
        <w:rPr>
          <w:rStyle w:val="CommentReference"/>
        </w:rPr>
        <w:annotationRef/>
      </w:r>
      <w:r>
        <w:t>Duplicate discarding should also NOT be supported by an NCR-MT or? Good if we also include this in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CEC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F29D" w14:textId="77777777" w:rsidR="002C06CF" w:rsidRDefault="002C06CF" w:rsidP="00094E6A">
      <w:pPr>
        <w:spacing w:after="0"/>
      </w:pPr>
      <w:r>
        <w:separator/>
      </w:r>
    </w:p>
  </w:endnote>
  <w:endnote w:type="continuationSeparator" w:id="0">
    <w:p w14:paraId="3E705CD8" w14:textId="77777777" w:rsidR="002C06CF" w:rsidRDefault="002C06CF" w:rsidP="00094E6A">
      <w:pPr>
        <w:spacing w:after="0"/>
      </w:pPr>
      <w:r>
        <w:continuationSeparator/>
      </w:r>
    </w:p>
  </w:endnote>
  <w:endnote w:type="continuationNotice" w:id="1">
    <w:p w14:paraId="4D900CAA" w14:textId="77777777" w:rsidR="002C06CF" w:rsidRDefault="002C06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20B0604020202020204"/>
    <w:charset w:val="00"/>
    <w:family w:val="roman"/>
    <w:notTrueType/>
    <w:pitch w:val="default"/>
  </w:font>
  <w:font w:name="DengXian">
    <w:altName w:val="µÈÏß"/>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roman"/>
    <w:pitch w:val="variable"/>
    <w:sig w:usb0="B00002AF" w:usb1="69D77CFB" w:usb2="00000030" w:usb3="00000000" w:csb0="0008009F" w:csb1="00000000"/>
  </w:font>
  <w:font w:name="MnSymbol10">
    <w:altName w:val="Yu Gothic"/>
    <w:panose1 w:val="020B0604020202020204"/>
    <w:charset w:val="00"/>
    <w:family w:val="roman"/>
    <w:pitch w:val="default"/>
  </w:font>
  <w:font w:name="TimesNewRomanPSMT">
    <w:altName w:val="Times New Roman"/>
    <w:panose1 w:val="020B0604020202020204"/>
    <w:charset w:val="00"/>
    <w:family w:val="roman"/>
    <w:pitch w:val="default"/>
  </w:font>
  <w:font w:name="MS Mincho">
    <w:altName w:val="‚l‚r –¾’©"/>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4644" w14:textId="77777777" w:rsidR="00BD28D6" w:rsidRDefault="00BD2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31F" w14:textId="77777777" w:rsidR="00BD28D6" w:rsidRDefault="00BD2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4AD8" w14:textId="77777777" w:rsidR="00BD28D6" w:rsidRDefault="00BD2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ABFA" w14:textId="77777777" w:rsidR="002C06CF" w:rsidRDefault="002C06CF" w:rsidP="00094E6A">
      <w:pPr>
        <w:spacing w:after="0"/>
      </w:pPr>
      <w:r>
        <w:separator/>
      </w:r>
    </w:p>
  </w:footnote>
  <w:footnote w:type="continuationSeparator" w:id="0">
    <w:p w14:paraId="113A69CB" w14:textId="77777777" w:rsidR="002C06CF" w:rsidRDefault="002C06CF" w:rsidP="00094E6A">
      <w:pPr>
        <w:spacing w:after="0"/>
      </w:pPr>
      <w:r>
        <w:continuationSeparator/>
      </w:r>
    </w:p>
  </w:footnote>
  <w:footnote w:type="continuationNotice" w:id="1">
    <w:p w14:paraId="5C81BE79" w14:textId="77777777" w:rsidR="002C06CF" w:rsidRDefault="002C06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683F" w14:textId="77777777" w:rsidR="00BD28D6" w:rsidRDefault="00BD2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6492" w14:textId="77777777" w:rsidR="00BD28D6" w:rsidRDefault="00BD2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D78" w14:textId="77777777" w:rsidR="00BD28D6" w:rsidRDefault="00BD2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091117">
    <w:abstractNumId w:val="7"/>
  </w:num>
  <w:num w:numId="2" w16cid:durableId="1190680870">
    <w:abstractNumId w:val="9"/>
  </w:num>
  <w:num w:numId="3" w16cid:durableId="120344319">
    <w:abstractNumId w:val="13"/>
  </w:num>
  <w:num w:numId="4" w16cid:durableId="624695684">
    <w:abstractNumId w:val="12"/>
  </w:num>
  <w:num w:numId="5" w16cid:durableId="475074207">
    <w:abstractNumId w:val="0"/>
  </w:num>
  <w:num w:numId="6" w16cid:durableId="133525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031831">
    <w:abstractNumId w:val="8"/>
  </w:num>
  <w:num w:numId="8" w16cid:durableId="1134526095">
    <w:abstractNumId w:val="17"/>
  </w:num>
  <w:num w:numId="9" w16cid:durableId="560749304">
    <w:abstractNumId w:val="16"/>
  </w:num>
  <w:num w:numId="10" w16cid:durableId="91631599">
    <w:abstractNumId w:val="11"/>
  </w:num>
  <w:num w:numId="11" w16cid:durableId="326633117">
    <w:abstractNumId w:val="3"/>
  </w:num>
  <w:num w:numId="12" w16cid:durableId="897286009">
    <w:abstractNumId w:val="14"/>
  </w:num>
  <w:num w:numId="13" w16cid:durableId="237521130">
    <w:abstractNumId w:val="1"/>
  </w:num>
  <w:num w:numId="14" w16cid:durableId="1323046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3565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848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159492">
    <w:abstractNumId w:val="2"/>
  </w:num>
  <w:num w:numId="18" w16cid:durableId="1935671762">
    <w:abstractNumId w:val="18"/>
  </w:num>
  <w:num w:numId="19" w16cid:durableId="210192450">
    <w:abstractNumId w:val="10"/>
  </w:num>
  <w:num w:numId="20" w16cid:durableId="1573268728">
    <w:abstractNumId w:val="4"/>
  </w:num>
  <w:num w:numId="21" w16cid:durableId="15538089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4A6A"/>
    <w:rsid w:val="004C0299"/>
    <w:rsid w:val="004C08AF"/>
    <w:rsid w:val="004C0BA5"/>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7AA"/>
    <w:rsid w:val="00527B95"/>
    <w:rsid w:val="00530020"/>
    <w:rsid w:val="00530BC7"/>
    <w:rsid w:val="00531301"/>
    <w:rsid w:val="005320D5"/>
    <w:rsid w:val="00533599"/>
    <w:rsid w:val="00534BF1"/>
    <w:rsid w:val="00535883"/>
    <w:rsid w:val="00535918"/>
    <w:rsid w:val="00537C78"/>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34FF"/>
    <w:rsid w:val="00985306"/>
    <w:rsid w:val="00986645"/>
    <w:rsid w:val="00986912"/>
    <w:rsid w:val="009879C1"/>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17FC6"/>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semiHidden/>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styleId="UnresolvedMention">
    <w:name w:val="Unresolved Mention"/>
    <w:basedOn w:val="DefaultParagraphFont"/>
    <w:uiPriority w:val="99"/>
    <w:unhideWhenUsed/>
    <w:rsid w:val="004159AC"/>
    <w:rPr>
      <w:color w:val="605E5C"/>
      <w:shd w:val="clear" w:color="auto" w:fill="E1DFDD"/>
    </w:rPr>
  </w:style>
  <w:style w:type="character" w:styleId="Mention">
    <w:name w:val="Mention"/>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A8763-4117-4B0C-AB76-9034F986AB54}">
  <ds:schemaRefs>
    <ds:schemaRef ds:uri="http://schemas.openxmlformats.org/officeDocument/2006/bibliography"/>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2808</Words>
  <Characters>15053</Characters>
  <Application>Microsoft Office Word</Application>
  <DocSecurity>0</DocSecurity>
  <Lines>456</Lines>
  <Paragraphs>510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Ericsson - Tony</cp:lastModifiedBy>
  <cp:revision>12</cp:revision>
  <dcterms:created xsi:type="dcterms:W3CDTF">2023-03-15T00:46:00Z</dcterms:created>
  <dcterms:modified xsi:type="dcterms:W3CDTF">2023-03-23T14:45:00Z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