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[Post119-e][650][IDC]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Heading1"/>
      </w:pPr>
      <w:r>
        <w:t>1</w:t>
      </w:r>
      <w:r>
        <w:tab/>
        <w:t>Introduction</w:t>
      </w:r>
    </w:p>
    <w:p w14:paraId="5A66772F" w14:textId="77777777" w:rsidR="007159BE" w:rsidRDefault="007D3121">
      <w:pPr>
        <w:pStyle w:val="BodyText"/>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[Post119-e][650][IDC] Comparison of FDM solutions (Ericsson)</w:t>
      </w:r>
    </w:p>
    <w:p w14:paraId="52085DB8" w14:textId="77777777" w:rsidR="007159BE" w:rsidRDefault="007D3121">
      <w:pPr>
        <w:pStyle w:val="EmailDiscussion2"/>
      </w:pPr>
      <w:r>
        <w:t xml:space="preserve">      </w:t>
      </w:r>
      <w:r>
        <w:tab/>
        <w:t>Scope: Analyse the details of FDM candidate solutions raised in R2-2208951, and compare solutions ,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BodyText"/>
      </w:pPr>
    </w:p>
    <w:p w14:paraId="570F1ABA" w14:textId="77777777" w:rsidR="007159BE" w:rsidRDefault="007D3121">
      <w:pPr>
        <w:pStyle w:val="BodyText"/>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BodyText"/>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i.e.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BodyText"/>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w:t>
      </w:r>
      <w:proofErr w:type="gramStart"/>
      <w:r w:rsidRPr="00B23851">
        <w:rPr>
          <w:lang w:val="en-US"/>
        </w:rPr>
        <w:t>GPP  should</w:t>
      </w:r>
      <w:proofErr w:type="gramEnd"/>
      <w:r w:rsidRPr="00B23851">
        <w:rPr>
          <w:lang w:val="en-US"/>
        </w:rPr>
        <w:t xml:space="preserve">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w:t>
      </w:r>
      <w:proofErr w:type="spellStart"/>
      <w:r w:rsidRPr="00B23851">
        <w:rPr>
          <w:lang w:val="en-US"/>
        </w:rPr>
        <w:t>signalling</w:t>
      </w:r>
      <w:proofErr w:type="spellEnd"/>
      <w:r w:rsidRPr="00B23851">
        <w:rPr>
          <w:lang w:val="en-US"/>
        </w:rPr>
        <w:t xml:space="preserve"> details;</w:t>
      </w:r>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w:t>
      </w:r>
      <w:proofErr w:type="gramStart"/>
      <w:r w:rsidRPr="00B23851">
        <w:rPr>
          <w:lang w:val="en-US"/>
        </w:rPr>
        <w:t>GPP  should</w:t>
      </w:r>
      <w:proofErr w:type="gramEnd"/>
      <w:r w:rsidRPr="00B23851">
        <w:rPr>
          <w:lang w:val="en-US"/>
        </w:rPr>
        <w:t xml:space="preserve">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w:t>
      </w:r>
      <w:proofErr w:type="gramStart"/>
      <w:r w:rsidRPr="00B23851">
        <w:rPr>
          <w:lang w:val="en-US"/>
        </w:rPr>
        <w:t>GPP  should</w:t>
      </w:r>
      <w:proofErr w:type="gramEnd"/>
      <w:r w:rsidRPr="00B23851">
        <w:rPr>
          <w:lang w:val="en-US"/>
        </w:rPr>
        <w:t xml:space="preserve">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w:t>
      </w:r>
      <w:proofErr w:type="spellStart"/>
      <w:r w:rsidRPr="00B23851">
        <w:rPr>
          <w:lang w:val="en-US"/>
        </w:rPr>
        <w:t>signalling</w:t>
      </w:r>
      <w:proofErr w:type="spellEnd"/>
      <w:r w:rsidRPr="00B23851">
        <w:rPr>
          <w:lang w:val="en-US"/>
        </w:rPr>
        <w:t xml:space="preserve">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BodyText"/>
        <w:rPr>
          <w:lang w:val="en-US"/>
        </w:rPr>
      </w:pPr>
    </w:p>
    <w:p w14:paraId="0A530C2F" w14:textId="77777777" w:rsidR="007159BE" w:rsidRDefault="007D3121">
      <w:pPr>
        <w:pStyle w:val="Heading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 xml:space="preserve">Jarkko </w:t>
            </w:r>
            <w:proofErr w:type="spellStart"/>
            <w:r>
              <w:rPr>
                <w:rFonts w:ascii="Times New Roman" w:hAnsi="Times New Roman"/>
                <w:sz w:val="20"/>
                <w:lang w:val="en-GB"/>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81640C">
            <w:pPr>
              <w:pStyle w:val="TAC"/>
              <w:spacing w:before="20" w:after="20"/>
              <w:ind w:left="57" w:right="57"/>
              <w:rPr>
                <w:rFonts w:ascii="Times New Roman" w:hAnsi="Times New Roman"/>
                <w:sz w:val="20"/>
                <w:lang w:val="en-GB"/>
              </w:rPr>
            </w:pPr>
            <w:hyperlink r:id="rId14" w:history="1">
              <w:r w:rsidR="007D3121">
                <w:rPr>
                  <w:rStyle w:val="Hyperlink"/>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Yumin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81640C">
            <w:pPr>
              <w:pStyle w:val="TAC"/>
              <w:spacing w:before="20" w:after="20"/>
              <w:ind w:left="57" w:right="57"/>
              <w:rPr>
                <w:rFonts w:ascii="Times New Roman" w:hAnsi="Times New Roman"/>
                <w:sz w:val="20"/>
                <w:lang w:val="en-GB"/>
              </w:rPr>
            </w:pPr>
            <w:hyperlink r:id="rId15" w:history="1">
              <w:r w:rsidR="007D3121">
                <w:rPr>
                  <w:rStyle w:val="Hyperlink"/>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Wenting</w:t>
            </w:r>
            <w:proofErr w:type="spellEnd"/>
            <w:r>
              <w:rPr>
                <w:rFonts w:ascii="Times New Roman" w:hAnsi="Times New Roman" w:hint="eastAsia"/>
                <w:sz w:val="20"/>
                <w:lang w:val="en-US"/>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36AF6"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43EC7F08"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Intel</w:t>
            </w:r>
          </w:p>
        </w:tc>
        <w:tc>
          <w:tcPr>
            <w:tcW w:w="3118" w:type="dxa"/>
            <w:tcBorders>
              <w:top w:val="single" w:sz="4" w:space="0" w:color="auto"/>
              <w:left w:val="single" w:sz="4" w:space="0" w:color="auto"/>
              <w:bottom w:val="single" w:sz="4" w:space="0" w:color="auto"/>
              <w:right w:val="single" w:sz="4" w:space="0" w:color="auto"/>
            </w:tcBorders>
          </w:tcPr>
          <w:p w14:paraId="1C2A5A2A" w14:textId="62D2228E" w:rsidR="00736AF6" w:rsidRDefault="00736AF6" w:rsidP="00736AF6">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Yujian</w:t>
            </w:r>
            <w:proofErr w:type="spellEnd"/>
            <w:r>
              <w:rPr>
                <w:rFonts w:ascii="Times New Roman" w:hAnsi="Times New Roman"/>
                <w:sz w:val="20"/>
                <w:lang w:val="en-GB"/>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FD1AE0A" w14:textId="32849AD2"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yujian.zhang@intel.com</w:t>
            </w:r>
          </w:p>
        </w:tc>
      </w:tr>
      <w:tr w:rsidR="00010059"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044AE88B" w:rsidR="00010059" w:rsidRDefault="00010059" w:rsidP="00010059">
            <w:pPr>
              <w:pStyle w:val="TAC"/>
              <w:spacing w:before="20" w:after="20"/>
              <w:ind w:left="57" w:right="57"/>
              <w:rPr>
                <w:rFonts w:ascii="Times New Roman" w:hAnsi="Times New Roman"/>
                <w:sz w:val="20"/>
                <w:lang w:val="en-GB"/>
              </w:rPr>
            </w:pPr>
            <w:r>
              <w:rPr>
                <w:rFonts w:eastAsia="DengXian"/>
              </w:rPr>
              <w:t>Huawei, HiSilicon</w:t>
            </w:r>
          </w:p>
        </w:tc>
        <w:tc>
          <w:tcPr>
            <w:tcW w:w="3118" w:type="dxa"/>
            <w:tcBorders>
              <w:top w:val="single" w:sz="4" w:space="0" w:color="auto"/>
              <w:left w:val="single" w:sz="4" w:space="0" w:color="auto"/>
              <w:bottom w:val="single" w:sz="4" w:space="0" w:color="auto"/>
              <w:right w:val="single" w:sz="4" w:space="0" w:color="auto"/>
            </w:tcBorders>
          </w:tcPr>
          <w:p w14:paraId="4B9147F9" w14:textId="48C7CF72" w:rsidR="00010059" w:rsidRDefault="00010059" w:rsidP="00010059">
            <w:pPr>
              <w:pStyle w:val="TAC"/>
              <w:spacing w:before="20" w:after="20"/>
              <w:ind w:left="57" w:right="57"/>
              <w:rPr>
                <w:rFonts w:ascii="Times New Roman" w:hAnsi="Times New Roman"/>
                <w:sz w:val="20"/>
                <w:lang w:val="en-GB"/>
              </w:rPr>
            </w:pPr>
            <w:r w:rsidRPr="006C23B4">
              <w:t xml:space="preserve">Jagdeep Singh </w:t>
            </w:r>
          </w:p>
        </w:tc>
        <w:tc>
          <w:tcPr>
            <w:tcW w:w="4391" w:type="dxa"/>
            <w:tcBorders>
              <w:top w:val="single" w:sz="4" w:space="0" w:color="auto"/>
              <w:left w:val="single" w:sz="4" w:space="0" w:color="auto"/>
              <w:bottom w:val="single" w:sz="4" w:space="0" w:color="auto"/>
              <w:right w:val="single" w:sz="4" w:space="0" w:color="auto"/>
            </w:tcBorders>
          </w:tcPr>
          <w:p w14:paraId="1F82F2E7" w14:textId="346E3609" w:rsidR="00010059" w:rsidRDefault="00010059" w:rsidP="00010059">
            <w:pPr>
              <w:pStyle w:val="TAC"/>
              <w:spacing w:before="20" w:after="20"/>
              <w:ind w:left="57" w:right="57"/>
              <w:rPr>
                <w:rFonts w:ascii="Times New Roman" w:hAnsi="Times New Roman"/>
                <w:sz w:val="20"/>
                <w:lang w:val="en-GB"/>
              </w:rPr>
            </w:pPr>
            <w:r w:rsidRPr="006C23B4">
              <w:t>jagdeep.singh6@huawei.com</w:t>
            </w:r>
          </w:p>
        </w:tc>
      </w:tr>
      <w:tr w:rsidR="00736AF6"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7795F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265819E2" w14:textId="77777777" w:rsidR="00736AF6" w:rsidRDefault="00736AF6" w:rsidP="00736AF6">
            <w:pPr>
              <w:pStyle w:val="TAC"/>
              <w:spacing w:before="20" w:after="20"/>
              <w:ind w:left="57" w:right="57"/>
              <w:rPr>
                <w:rFonts w:ascii="Times New Roman" w:hAnsi="Times New Roman"/>
                <w:sz w:val="20"/>
                <w:lang w:val="en-GB"/>
              </w:rPr>
            </w:pPr>
          </w:p>
        </w:tc>
      </w:tr>
      <w:tr w:rsidR="00736AF6"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36AF6" w:rsidRDefault="00736AF6" w:rsidP="00736AF6">
            <w:pPr>
              <w:pStyle w:val="TAC"/>
              <w:spacing w:before="20" w:after="20"/>
              <w:ind w:left="57" w:right="57"/>
              <w:rPr>
                <w:rFonts w:ascii="Times New Roman" w:hAnsi="Times New Roman"/>
                <w:sz w:val="20"/>
                <w:lang w:val="en-GB"/>
              </w:rPr>
            </w:pPr>
          </w:p>
        </w:tc>
      </w:tr>
      <w:tr w:rsidR="00736AF6"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36AF6" w:rsidRDefault="00736AF6" w:rsidP="00736AF6">
            <w:pPr>
              <w:pStyle w:val="TAC"/>
              <w:spacing w:before="20" w:after="20"/>
              <w:ind w:left="57" w:right="57"/>
              <w:rPr>
                <w:rFonts w:ascii="Times New Roman" w:hAnsi="Times New Roman"/>
                <w:sz w:val="20"/>
                <w:lang w:val="en-GB"/>
              </w:rPr>
            </w:pPr>
          </w:p>
        </w:tc>
      </w:tr>
      <w:tr w:rsidR="00736AF6"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36AF6" w:rsidRDefault="00736AF6" w:rsidP="00736AF6">
            <w:pPr>
              <w:pStyle w:val="TAC"/>
              <w:spacing w:before="20" w:after="20"/>
              <w:ind w:left="57" w:right="57"/>
              <w:rPr>
                <w:rFonts w:ascii="Times New Roman" w:hAnsi="Times New Roman"/>
                <w:sz w:val="20"/>
                <w:lang w:val="en-GB"/>
              </w:rPr>
            </w:pPr>
          </w:p>
        </w:tc>
      </w:tr>
      <w:tr w:rsidR="00736AF6"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36AF6" w:rsidRDefault="00736AF6" w:rsidP="00736AF6">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Heading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 xml:space="preserve">OtherConfig-v1610 ::=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 xml:space="preserve">IDC-AssistanceConfig-r16 ::=    </w:t>
            </w:r>
            <w:r>
              <w:rPr>
                <w:color w:val="993366"/>
              </w:rPr>
              <w:t>SEQUENCE</w:t>
            </w:r>
            <w:r>
              <w:t xml:space="preserve"> {</w:t>
            </w:r>
          </w:p>
          <w:p w14:paraId="00F1AC29" w14:textId="77777777" w:rsidR="007159BE" w:rsidRDefault="007D3121">
            <w:pPr>
              <w:pStyle w:val="PL"/>
              <w:rPr>
                <w:color w:val="808080"/>
              </w:rPr>
            </w:pPr>
            <w:r>
              <w:t xml:space="preserve">    candidateServingFreqListNR-r16  </w:t>
            </w:r>
            <w:proofErr w:type="spellStart"/>
            <w:r>
              <w:t>CandidateServingFreqListNR-r16</w:t>
            </w:r>
            <w:proofErr w:type="spellEnd"/>
            <w:r>
              <w:t xml:space="preserve">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lastRenderedPageBreak/>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Hyperlink"/>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w:t>
      </w:r>
      <w:proofErr w:type="spellStart"/>
      <w:proofErr w:type="gramStart"/>
      <w:r>
        <w:rPr>
          <w:rFonts w:ascii="Arial" w:hAnsi="Arial"/>
          <w:lang w:eastAsia="zh-CN"/>
        </w:rPr>
        <w:t>non serving</w:t>
      </w:r>
      <w:proofErr w:type="spellEnd"/>
      <w:proofErr w:type="gramEnd"/>
      <w:r>
        <w:rPr>
          <w:rFonts w:ascii="Arial" w:hAnsi="Arial"/>
          <w:lang w:eastAsia="zh-CN"/>
        </w:rPr>
        <w:t xml:space="preserve">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w:t>
      </w:r>
      <w:proofErr w:type="spellStart"/>
      <w:proofErr w:type="gramStart"/>
      <w:r>
        <w:rPr>
          <w:rFonts w:ascii="Arial" w:hAnsi="Arial"/>
          <w:lang w:eastAsia="zh-CN"/>
        </w:rPr>
        <w:t>non serving</w:t>
      </w:r>
      <w:proofErr w:type="spellEnd"/>
      <w:proofErr w:type="gramEnd"/>
      <w:r>
        <w:rPr>
          <w:rFonts w:ascii="Arial" w:hAnsi="Arial"/>
          <w:lang w:eastAsia="zh-CN"/>
        </w:rPr>
        <w:t xml:space="preserve">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Default="007159BE">
      <w:pPr>
        <w:rPr>
          <w:rFonts w:ascii="Arial" w:hAnsi="Arial"/>
          <w:lang w:val="sv-SE" w:eastAsia="zh-CN"/>
        </w:rPr>
      </w:pPr>
    </w:p>
    <w:p w14:paraId="79CF817E" w14:textId="77777777" w:rsidR="007159BE" w:rsidRDefault="007D3121">
      <w:pPr>
        <w:pStyle w:val="Heading1"/>
        <w:rPr>
          <w:lang w:val="sv-SE" w:eastAsia="zh-CN"/>
        </w:rPr>
      </w:pPr>
      <w:r>
        <w:rPr>
          <w:lang w:val="sv-SE" w:eastAsia="zh-CN"/>
        </w:rPr>
        <w:lastRenderedPageBreak/>
        <w:t>4</w:t>
      </w:r>
      <w:r>
        <w:rPr>
          <w:lang w:val="sv-SE" w:eastAsia="zh-CN"/>
        </w:rPr>
        <w:tab/>
        <w:t>Discussion</w:t>
      </w:r>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(i.e. frequency resources which the UE is currently not using). First, the rapporteur suggests 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w:t>
            </w:r>
            <w:proofErr w:type="spellStart"/>
            <w:r>
              <w:rPr>
                <w:rFonts w:ascii="Arial" w:eastAsia="MS Mincho" w:hAnsi="Arial" w:cs="Arial"/>
                <w:bCs/>
              </w:rPr>
              <w:t>gNB</w:t>
            </w:r>
            <w:proofErr w:type="spellEnd"/>
            <w:r>
              <w:rPr>
                <w:rFonts w:ascii="Arial" w:eastAsia="MS Mincho" w:hAnsi="Arial" w:cs="Arial"/>
                <w:bCs/>
              </w:rPr>
              <w:t xml:space="preserve">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serving frequency, with BWP/PRB based reporting, the network can avoid unnecessary handover, e.g.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010059">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010059">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010059">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w:t>
            </w:r>
            <w:proofErr w:type="spellStart"/>
            <w:r w:rsidRPr="00906D30">
              <w:rPr>
                <w:rFonts w:ascii="Arial" w:eastAsia="MS Mincho" w:hAnsi="Arial" w:cs="Arial"/>
                <w:bCs/>
              </w:rPr>
              <w:t>PSCell</w:t>
            </w:r>
            <w:proofErr w:type="spellEnd"/>
            <w:r w:rsidRPr="00906D30">
              <w:rPr>
                <w:rFonts w:ascii="Arial" w:eastAsia="MS Mincho" w:hAnsi="Arial" w:cs="Arial"/>
                <w:bCs/>
              </w:rPr>
              <w:t xml:space="preserve"> change, </w:t>
            </w:r>
            <w:proofErr w:type="spellStart"/>
            <w:r w:rsidRPr="00906D30">
              <w:rPr>
                <w:rFonts w:ascii="Arial" w:eastAsia="MS Mincho" w:hAnsi="Arial" w:cs="Arial"/>
                <w:bCs/>
              </w:rPr>
              <w:t>SCell</w:t>
            </w:r>
            <w:proofErr w:type="spellEnd"/>
            <w:r w:rsidRPr="00906D30">
              <w:rPr>
                <w:rFonts w:ascii="Arial" w:eastAsia="MS Mincho" w:hAnsi="Arial" w:cs="Arial"/>
                <w:bCs/>
              </w:rPr>
              <w:t xml:space="preserve"> addition, which are popular in current NR framework. </w:t>
            </w:r>
          </w:p>
        </w:tc>
      </w:tr>
      <w:tr w:rsidR="00736AF6"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5BCA30E6" w:rsidR="00736AF6" w:rsidRPr="00906D30" w:rsidRDefault="00736AF6" w:rsidP="00736AF6">
            <w:pPr>
              <w:spacing w:after="0"/>
              <w:rPr>
                <w:rFonts w:ascii="Arial" w:eastAsia="MS Mincho" w:hAnsi="Arial" w:cs="Arial"/>
                <w:bCs/>
              </w:rPr>
            </w:pPr>
            <w:r>
              <w:rPr>
                <w:rFonts w:ascii="Arial" w:eastAsia="MS Mincho" w:hAnsi="Arial" w:cs="Arial"/>
                <w:bCs/>
              </w:rPr>
              <w:t>Intel</w:t>
            </w:r>
          </w:p>
        </w:tc>
        <w:tc>
          <w:tcPr>
            <w:tcW w:w="1139" w:type="dxa"/>
            <w:tcBorders>
              <w:top w:val="single" w:sz="4" w:space="0" w:color="auto"/>
              <w:left w:val="single" w:sz="4" w:space="0" w:color="auto"/>
              <w:bottom w:val="single" w:sz="4" w:space="0" w:color="auto"/>
              <w:right w:val="single" w:sz="4" w:space="0" w:color="auto"/>
            </w:tcBorders>
          </w:tcPr>
          <w:p w14:paraId="47ABDD8E" w14:textId="76C2DE3D" w:rsidR="00736AF6" w:rsidRDefault="00736AF6"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275F6914" w14:textId="2CD4BF93" w:rsidR="00736AF6" w:rsidRDefault="00736AF6" w:rsidP="00736AF6">
            <w:pPr>
              <w:spacing w:after="0"/>
              <w:rPr>
                <w:rFonts w:ascii="Arial" w:eastAsia="MS Mincho" w:hAnsi="Arial" w:cs="Arial"/>
                <w:bCs/>
              </w:rPr>
            </w:pPr>
            <w:r>
              <w:rPr>
                <w:rFonts w:ascii="Arial" w:eastAsia="MS Mincho" w:hAnsi="Arial" w:cs="Arial"/>
                <w:bCs/>
              </w:rPr>
              <w:t>Rel-16 IDC assistance information can be provided for non-serving frequencies.</w:t>
            </w:r>
            <w:r w:rsidRPr="000A187F">
              <w:rPr>
                <w:rFonts w:ascii="Arial" w:eastAsia="MS Mincho" w:hAnsi="Arial" w:cs="Arial"/>
                <w:bCs/>
              </w:rPr>
              <w:t xml:space="preserve"> Reporting enhanced FDM information </w:t>
            </w:r>
            <w:r>
              <w:rPr>
                <w:rFonts w:ascii="Arial" w:eastAsia="MS Mincho" w:hAnsi="Arial" w:cs="Arial"/>
                <w:bCs/>
              </w:rPr>
              <w:t xml:space="preserve">for non-serving frequencies </w:t>
            </w:r>
            <w:r w:rsidRPr="000A187F">
              <w:rPr>
                <w:rFonts w:ascii="Arial" w:eastAsia="MS Mincho" w:hAnsi="Arial" w:cs="Arial"/>
                <w:bCs/>
              </w:rPr>
              <w:t xml:space="preserve">can provide </w:t>
            </w:r>
            <w:proofErr w:type="spellStart"/>
            <w:r w:rsidRPr="000A187F">
              <w:rPr>
                <w:rFonts w:ascii="Arial" w:eastAsia="MS Mincho" w:hAnsi="Arial" w:cs="Arial"/>
                <w:bCs/>
              </w:rPr>
              <w:t>gNB</w:t>
            </w:r>
            <w:proofErr w:type="spellEnd"/>
            <w:r w:rsidRPr="000A187F">
              <w:rPr>
                <w:rFonts w:ascii="Arial" w:eastAsia="MS Mincho" w:hAnsi="Arial" w:cs="Arial"/>
                <w:bCs/>
              </w:rPr>
              <w:t xml:space="preserve"> more flexibility and less latency if </w:t>
            </w:r>
            <w:proofErr w:type="spellStart"/>
            <w:r w:rsidRPr="000A187F">
              <w:rPr>
                <w:rFonts w:ascii="Arial" w:eastAsia="MS Mincho" w:hAnsi="Arial" w:cs="Arial"/>
                <w:bCs/>
              </w:rPr>
              <w:t>gNB</w:t>
            </w:r>
            <w:proofErr w:type="spellEnd"/>
            <w:r w:rsidRPr="000A187F">
              <w:rPr>
                <w:rFonts w:ascii="Arial" w:eastAsia="MS Mincho" w:hAnsi="Arial" w:cs="Arial"/>
                <w:bCs/>
              </w:rPr>
              <w:t xml:space="preserve"> decides to utilize those frequencies.</w:t>
            </w:r>
          </w:p>
        </w:tc>
      </w:tr>
      <w:tr w:rsidR="00736AF6"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0C089405" w:rsidR="00736AF6" w:rsidRDefault="00010059" w:rsidP="00736AF6">
            <w:pPr>
              <w:spacing w:after="0"/>
              <w:rPr>
                <w:rFonts w:ascii="Arial" w:eastAsia="MS Mincho" w:hAnsi="Arial" w:cs="Arial"/>
                <w:bCs/>
              </w:rPr>
            </w:pPr>
            <w:r w:rsidRPr="00010059">
              <w:rPr>
                <w:rFonts w:ascii="Arial" w:eastAsia="MS Mincho" w:hAnsi="Arial" w:cs="Arial"/>
                <w:bCs/>
              </w:rPr>
              <w:t>Huawei, HiSilicon</w:t>
            </w:r>
          </w:p>
        </w:tc>
        <w:tc>
          <w:tcPr>
            <w:tcW w:w="1139" w:type="dxa"/>
            <w:tcBorders>
              <w:top w:val="single" w:sz="4" w:space="0" w:color="auto"/>
              <w:left w:val="single" w:sz="4" w:space="0" w:color="auto"/>
              <w:bottom w:val="single" w:sz="4" w:space="0" w:color="auto"/>
              <w:right w:val="single" w:sz="4" w:space="0" w:color="auto"/>
            </w:tcBorders>
          </w:tcPr>
          <w:p w14:paraId="3EA8D414" w14:textId="373BB522" w:rsidR="00736AF6" w:rsidRDefault="00010059"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0BC8C" w14:textId="7A593875" w:rsidR="00EC58B8" w:rsidRDefault="00EC58B8" w:rsidP="00FC011E">
            <w:pPr>
              <w:spacing w:after="0"/>
              <w:rPr>
                <w:rFonts w:ascii="Arial" w:eastAsia="MS Mincho" w:hAnsi="Arial" w:cs="Arial"/>
                <w:bCs/>
              </w:rPr>
            </w:pPr>
            <w:r>
              <w:rPr>
                <w:rFonts w:ascii="Arial" w:eastAsia="MS Mincho" w:hAnsi="Arial" w:cs="Arial"/>
                <w:bCs/>
              </w:rPr>
              <w:t>In last meeting, we have already agreed that “</w:t>
            </w:r>
            <w:r w:rsidR="002E3C50" w:rsidRPr="002E3C50">
              <w:rPr>
                <w:rFonts w:ascii="Arial" w:eastAsia="MS Mincho" w:hAnsi="Arial" w:cs="Arial"/>
                <w:bCs/>
              </w:rPr>
              <w:t>Granular indications of the affected NR frequency reported for IDC issue needs to consider both serving and non-serving frequency as in the legacy FDM solution.</w:t>
            </w:r>
            <w:r>
              <w:rPr>
                <w:rFonts w:ascii="Arial" w:eastAsia="MS Mincho" w:hAnsi="Arial" w:cs="Arial"/>
                <w:bCs/>
              </w:rPr>
              <w:t>”</w:t>
            </w:r>
            <w:r w:rsidR="002E3C50">
              <w:rPr>
                <w:rFonts w:ascii="Arial" w:eastAsia="MS Mincho" w:hAnsi="Arial" w:cs="Arial"/>
                <w:bCs/>
              </w:rPr>
              <w:t xml:space="preserve"> </w:t>
            </w:r>
            <w:proofErr w:type="gramStart"/>
            <w:r w:rsidR="002E3C50">
              <w:rPr>
                <w:rFonts w:ascii="Arial" w:eastAsia="MS Mincho" w:hAnsi="Arial" w:cs="Arial"/>
                <w:bCs/>
              </w:rPr>
              <w:t>So</w:t>
            </w:r>
            <w:proofErr w:type="gramEnd"/>
            <w:r w:rsidR="001E1481">
              <w:rPr>
                <w:rFonts w:ascii="Arial" w:eastAsia="MS Mincho" w:hAnsi="Arial" w:cs="Arial"/>
                <w:bCs/>
              </w:rPr>
              <w:t xml:space="preserve"> we are</w:t>
            </w:r>
            <w:r w:rsidR="002E3C50">
              <w:rPr>
                <w:rFonts w:ascii="Arial" w:eastAsia="MS Mincho" w:hAnsi="Arial" w:cs="Arial"/>
                <w:bCs/>
              </w:rPr>
              <w:t xml:space="preserve"> not sure why we re-discuss this issue here.</w:t>
            </w:r>
          </w:p>
          <w:p w14:paraId="24E1C7E4" w14:textId="77777777" w:rsidR="002E3C50" w:rsidRDefault="002E3C50" w:rsidP="00FC011E">
            <w:pPr>
              <w:spacing w:after="0"/>
              <w:rPr>
                <w:rFonts w:ascii="Arial" w:eastAsia="MS Mincho" w:hAnsi="Arial" w:cs="Arial"/>
                <w:bCs/>
              </w:rPr>
            </w:pPr>
          </w:p>
          <w:p w14:paraId="62D370F8" w14:textId="1AEE2201" w:rsidR="00FC011E" w:rsidRDefault="002E3C50" w:rsidP="00FC011E">
            <w:pPr>
              <w:spacing w:after="0"/>
              <w:rPr>
                <w:rFonts w:ascii="Arial" w:eastAsia="MS Mincho" w:hAnsi="Arial" w:cs="Arial"/>
                <w:bCs/>
              </w:rPr>
            </w:pPr>
            <w:r>
              <w:rPr>
                <w:rFonts w:ascii="Arial" w:eastAsia="MS Mincho" w:hAnsi="Arial" w:cs="Arial"/>
                <w:bCs/>
              </w:rPr>
              <w:t xml:space="preserve">For the non-serving frequency, </w:t>
            </w:r>
            <w:r w:rsidR="001E1481">
              <w:rPr>
                <w:rFonts w:ascii="Arial" w:eastAsia="MS Mincho" w:hAnsi="Arial" w:cs="Arial"/>
                <w:bCs/>
              </w:rPr>
              <w:t xml:space="preserve">when </w:t>
            </w:r>
            <w:r>
              <w:rPr>
                <w:rFonts w:ascii="Arial" w:eastAsia="MS Mincho" w:hAnsi="Arial" w:cs="Arial"/>
                <w:bCs/>
              </w:rPr>
              <w:t>compar</w:t>
            </w:r>
            <w:r w:rsidR="001E1481">
              <w:rPr>
                <w:rFonts w:ascii="Arial" w:eastAsia="MS Mincho" w:hAnsi="Arial" w:cs="Arial"/>
                <w:bCs/>
              </w:rPr>
              <w:t>ing</w:t>
            </w:r>
            <w:r>
              <w:rPr>
                <w:rFonts w:ascii="Arial" w:eastAsia="MS Mincho" w:hAnsi="Arial" w:cs="Arial"/>
                <w:bCs/>
              </w:rPr>
              <w:t xml:space="preserve"> with only reporting the ARFCN, reporting more granular information from the UE will help the </w:t>
            </w:r>
            <w:proofErr w:type="spellStart"/>
            <w:r>
              <w:rPr>
                <w:rFonts w:ascii="Arial" w:eastAsia="MS Mincho" w:hAnsi="Arial" w:cs="Arial"/>
                <w:bCs/>
              </w:rPr>
              <w:t>gNB</w:t>
            </w:r>
            <w:proofErr w:type="spellEnd"/>
            <w:r>
              <w:rPr>
                <w:rFonts w:ascii="Arial" w:eastAsia="MS Mincho" w:hAnsi="Arial" w:cs="Arial"/>
                <w:bCs/>
              </w:rPr>
              <w:t xml:space="preserve"> to make more accurate decision on whether to HO the UE to the target frequency or add the target frequency as the </w:t>
            </w:r>
            <w:proofErr w:type="spellStart"/>
            <w:r>
              <w:rPr>
                <w:rFonts w:ascii="Arial" w:eastAsia="MS Mincho" w:hAnsi="Arial" w:cs="Arial"/>
                <w:bCs/>
              </w:rPr>
              <w:t>SCell</w:t>
            </w:r>
            <w:proofErr w:type="spellEnd"/>
            <w:r>
              <w:rPr>
                <w:rFonts w:ascii="Arial" w:eastAsia="MS Mincho" w:hAnsi="Arial" w:cs="Arial"/>
                <w:bCs/>
              </w:rPr>
              <w:t xml:space="preserve"> for the UE. For example, if only a small part of the non-serving frequency </w:t>
            </w:r>
            <w:r w:rsidR="001E1481">
              <w:rPr>
                <w:rFonts w:ascii="Arial" w:eastAsia="MS Mincho" w:hAnsi="Arial" w:cs="Arial"/>
                <w:bCs/>
              </w:rPr>
              <w:t>is</w:t>
            </w:r>
            <w:r>
              <w:rPr>
                <w:rFonts w:ascii="Arial" w:eastAsia="MS Mincho" w:hAnsi="Arial" w:cs="Arial"/>
                <w:bCs/>
              </w:rPr>
              <w:t xml:space="preserve"> affected by the IDC issue as indicated by the granular information, the </w:t>
            </w:r>
            <w:proofErr w:type="spellStart"/>
            <w:r>
              <w:rPr>
                <w:rFonts w:ascii="Arial" w:eastAsia="MS Mincho" w:hAnsi="Arial" w:cs="Arial"/>
                <w:bCs/>
              </w:rPr>
              <w:t>gNB</w:t>
            </w:r>
            <w:proofErr w:type="spellEnd"/>
            <w:r>
              <w:rPr>
                <w:rFonts w:ascii="Arial" w:eastAsia="MS Mincho" w:hAnsi="Arial" w:cs="Arial"/>
                <w:bCs/>
              </w:rPr>
              <w:t xml:space="preserve"> may still decide to HO the UE </w:t>
            </w:r>
            <w:r>
              <w:rPr>
                <w:rFonts w:ascii="Arial" w:eastAsia="MS Mincho" w:hAnsi="Arial" w:cs="Arial"/>
                <w:bCs/>
              </w:rPr>
              <w:lastRenderedPageBreak/>
              <w:t xml:space="preserve">to this frequency. However, if the UE just report the ARFCN for affected non-serving frequency, the </w:t>
            </w:r>
            <w:proofErr w:type="spellStart"/>
            <w:r>
              <w:rPr>
                <w:rFonts w:ascii="Arial" w:eastAsia="MS Mincho" w:hAnsi="Arial" w:cs="Arial"/>
                <w:bCs/>
              </w:rPr>
              <w:t>gNB</w:t>
            </w:r>
            <w:proofErr w:type="spellEnd"/>
            <w:r>
              <w:rPr>
                <w:rFonts w:ascii="Arial" w:eastAsia="MS Mincho" w:hAnsi="Arial" w:cs="Arial"/>
                <w:bCs/>
              </w:rPr>
              <w:t xml:space="preserve"> would decide to not HO the UE to </w:t>
            </w:r>
            <w:r w:rsidR="001E1481">
              <w:rPr>
                <w:rFonts w:ascii="Arial" w:eastAsia="MS Mincho" w:hAnsi="Arial" w:cs="Arial"/>
                <w:bCs/>
              </w:rPr>
              <w:t>it</w:t>
            </w:r>
            <w:r>
              <w:rPr>
                <w:rFonts w:ascii="Arial" w:eastAsia="MS Mincho" w:hAnsi="Arial" w:cs="Arial"/>
                <w:bCs/>
              </w:rPr>
              <w:t xml:space="preserve">. </w:t>
            </w:r>
          </w:p>
          <w:p w14:paraId="6DDCE831" w14:textId="345A4E25" w:rsidR="00FC011E" w:rsidRDefault="00285E19" w:rsidP="00FC011E">
            <w:pPr>
              <w:spacing w:after="0"/>
              <w:rPr>
                <w:rFonts w:ascii="Arial" w:eastAsia="MS Mincho" w:hAnsi="Arial" w:cs="Arial"/>
                <w:bCs/>
              </w:rPr>
            </w:pPr>
            <w:r>
              <w:rPr>
                <w:rFonts w:ascii="Arial" w:eastAsia="MS Mincho" w:hAnsi="Arial" w:cs="Arial"/>
                <w:bCs/>
              </w:rPr>
              <w:t>Additionally,</w:t>
            </w:r>
            <w:r w:rsidR="00FC011E">
              <w:rPr>
                <w:rFonts w:ascii="Arial" w:eastAsia="MS Mincho" w:hAnsi="Arial" w:cs="Arial"/>
                <w:bCs/>
              </w:rPr>
              <w:t xml:space="preserve"> if the UE reports </w:t>
            </w:r>
            <w:r w:rsidR="00FC011E">
              <w:rPr>
                <w:rFonts w:ascii="Arial" w:hAnsi="Arial"/>
                <w:lang w:eastAsia="zh-CN"/>
              </w:rPr>
              <w:t xml:space="preserve">the enhanced FDM information for both the serving and the non-serving frequency, the UE does not need to report it again when its serving frequency is changed which clearly reduces the </w:t>
            </w:r>
            <w:r w:rsidR="00F36C09">
              <w:rPr>
                <w:rFonts w:ascii="Arial" w:hAnsi="Arial"/>
                <w:lang w:eastAsia="zh-CN"/>
              </w:rPr>
              <w:t xml:space="preserve">overall </w:t>
            </w:r>
            <w:r w:rsidR="00FC011E">
              <w:rPr>
                <w:rFonts w:ascii="Arial" w:hAnsi="Arial"/>
                <w:lang w:eastAsia="zh-CN"/>
              </w:rPr>
              <w:t>signalling overhead.</w:t>
            </w:r>
          </w:p>
        </w:tc>
      </w:tr>
      <w:tr w:rsidR="00736AF6"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719FC2E0"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9040523" w14:textId="77777777" w:rsidR="00736AF6" w:rsidRDefault="00736AF6" w:rsidP="00736AF6">
            <w:pPr>
              <w:spacing w:after="0"/>
              <w:rPr>
                <w:rFonts w:ascii="Arial" w:eastAsia="MS Mincho" w:hAnsi="Arial" w:cs="Arial"/>
                <w:bCs/>
              </w:rPr>
            </w:pPr>
          </w:p>
        </w:tc>
      </w:tr>
      <w:tr w:rsidR="00736AF6" w14:paraId="257C9A4F" w14:textId="77777777" w:rsidTr="00906D30">
        <w:tc>
          <w:tcPr>
            <w:tcW w:w="1396" w:type="dxa"/>
            <w:tcBorders>
              <w:top w:val="single" w:sz="4" w:space="0" w:color="auto"/>
              <w:left w:val="single" w:sz="4" w:space="0" w:color="auto"/>
              <w:bottom w:val="single" w:sz="4" w:space="0" w:color="auto"/>
              <w:right w:val="single" w:sz="4" w:space="0" w:color="auto"/>
            </w:tcBorders>
          </w:tcPr>
          <w:p w14:paraId="72553559"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9EC8DF1"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30E4513" w14:textId="77777777" w:rsidR="00736AF6" w:rsidRDefault="00736AF6" w:rsidP="00736AF6">
            <w:pPr>
              <w:spacing w:after="0"/>
              <w:rPr>
                <w:rFonts w:ascii="Arial" w:eastAsia="MS Mincho" w:hAnsi="Arial" w:cs="Arial"/>
                <w:bCs/>
              </w:rPr>
            </w:pPr>
          </w:p>
        </w:tc>
      </w:tr>
    </w:tbl>
    <w:p w14:paraId="38388937" w14:textId="77777777" w:rsidR="007159BE" w:rsidRDefault="007159BE">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 xml:space="preserve">The finer granularity, more overhead to report, to avoid frequent IDC indication reporting, we could only consider the enhancement of finer granularity for serving frequencies, and keep legacy for non-serving frequencies. </w:t>
            </w:r>
            <w:proofErr w:type="gramStart"/>
            <w:r>
              <w:rPr>
                <w:rFonts w:ascii="Arial" w:eastAsia="MS Mincho" w:hAnsi="Arial" w:cs="Arial"/>
                <w:bCs/>
              </w:rPr>
              <w:t>T</w:t>
            </w:r>
            <w:r>
              <w:rPr>
                <w:rFonts w:ascii="Arial" w:eastAsia="MS Mincho" w:hAnsi="Arial" w:cs="Arial" w:hint="eastAsia"/>
                <w:bCs/>
              </w:rPr>
              <w:t>hus</w:t>
            </w:r>
            <w:proofErr w:type="gramEnd"/>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 xml:space="preserve">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(e.g.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010059">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36AF6"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1BB78F0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08F27489" w14:textId="6BF5B1A3" w:rsidR="00736AF6" w:rsidRDefault="00736AF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586D6756" w14:textId="4BACB4B9" w:rsidR="00736AF6" w:rsidRDefault="00736AF6" w:rsidP="00736AF6">
            <w:pPr>
              <w:spacing w:after="0"/>
              <w:rPr>
                <w:rFonts w:ascii="Arial" w:eastAsia="MS Mincho" w:hAnsi="Arial" w:cs="Arial"/>
                <w:bCs/>
              </w:rPr>
            </w:pPr>
            <w:r>
              <w:rPr>
                <w:rFonts w:ascii="Arial" w:eastAsia="MS Mincho" w:hAnsi="Arial" w:cs="Arial"/>
                <w:bCs/>
              </w:rPr>
              <w:t xml:space="preserve">We prefer to have same </w:t>
            </w:r>
            <w:proofErr w:type="gramStart"/>
            <w:r>
              <w:rPr>
                <w:rFonts w:ascii="Arial" w:eastAsia="MS Mincho" w:hAnsi="Arial" w:cs="Arial"/>
                <w:bCs/>
              </w:rPr>
              <w:t>high level</w:t>
            </w:r>
            <w:proofErr w:type="gramEnd"/>
            <w:r>
              <w:rPr>
                <w:rFonts w:ascii="Arial" w:eastAsia="MS Mincho" w:hAnsi="Arial" w:cs="Arial"/>
                <w:bCs/>
              </w:rPr>
              <w:t xml:space="preserve"> solution for serving and non-serving frequencies. For non-serving frequencies, some additional information can be </w:t>
            </w:r>
            <w:r>
              <w:rPr>
                <w:rFonts w:ascii="Arial" w:eastAsia="MS Mincho" w:hAnsi="Arial" w:cs="Arial"/>
                <w:bCs/>
              </w:rPr>
              <w:lastRenderedPageBreak/>
              <w:t xml:space="preserve">provided or UE </w:t>
            </w:r>
            <w:r w:rsidRPr="00665D46">
              <w:rPr>
                <w:rFonts w:ascii="Arial" w:eastAsia="MS Mincho" w:hAnsi="Arial" w:cs="Arial"/>
                <w:bCs/>
              </w:rPr>
              <w:t>indicates the affected frequency resources based on fixed assumption</w:t>
            </w:r>
            <w:r>
              <w:rPr>
                <w:rFonts w:ascii="Arial" w:eastAsia="MS Mincho" w:hAnsi="Arial" w:cs="Arial"/>
                <w:bCs/>
              </w:rPr>
              <w:t>.</w:t>
            </w:r>
          </w:p>
        </w:tc>
      </w:tr>
      <w:tr w:rsidR="00736AF6"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2897E80E" w:rsidR="00736AF6" w:rsidRDefault="008F7546" w:rsidP="00736AF6">
            <w:pPr>
              <w:spacing w:after="0"/>
              <w:rPr>
                <w:rFonts w:ascii="Arial" w:eastAsia="MS Mincho" w:hAnsi="Arial" w:cs="Arial"/>
                <w:bCs/>
              </w:rPr>
            </w:pPr>
            <w:r w:rsidRPr="008F7546">
              <w:rPr>
                <w:rFonts w:ascii="Arial" w:eastAsia="MS Mincho" w:hAnsi="Arial" w:cs="Arial"/>
                <w:bCs/>
              </w:rPr>
              <w:lastRenderedPageBreak/>
              <w:t>Huawei, HiSilicon</w:t>
            </w:r>
          </w:p>
        </w:tc>
        <w:tc>
          <w:tcPr>
            <w:tcW w:w="908" w:type="dxa"/>
            <w:tcBorders>
              <w:top w:val="single" w:sz="4" w:space="0" w:color="auto"/>
              <w:left w:val="single" w:sz="4" w:space="0" w:color="auto"/>
              <w:bottom w:val="single" w:sz="4" w:space="0" w:color="auto"/>
              <w:right w:val="single" w:sz="4" w:space="0" w:color="auto"/>
            </w:tcBorders>
          </w:tcPr>
          <w:p w14:paraId="5BD825CE" w14:textId="3B4C04CF" w:rsidR="00736AF6" w:rsidRDefault="008F754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EB654DA" w14:textId="1B56721A" w:rsidR="002E3C50" w:rsidRDefault="002E3C50" w:rsidP="00736AF6">
            <w:pPr>
              <w:spacing w:after="0"/>
              <w:rPr>
                <w:rFonts w:ascii="Arial" w:eastAsia="MS Mincho" w:hAnsi="Arial" w:cs="Arial"/>
                <w:bCs/>
              </w:rPr>
            </w:pPr>
            <w:r>
              <w:rPr>
                <w:rFonts w:ascii="Arial" w:eastAsia="MS Mincho" w:hAnsi="Arial" w:cs="Arial"/>
                <w:bCs/>
              </w:rPr>
              <w:t>Firstly, for the non-serving frequency</w:t>
            </w:r>
            <w:r>
              <w:rPr>
                <w:rFonts w:ascii="Arial" w:eastAsia="MS Mincho" w:hAnsi="Arial" w:cs="Arial"/>
                <w:bCs/>
              </w:rPr>
              <w:t xml:space="preserve">, as stated earlier, we think report more granular information </w:t>
            </w:r>
            <w:r>
              <w:rPr>
                <w:rFonts w:ascii="Arial" w:eastAsia="MS Mincho" w:hAnsi="Arial" w:cs="Arial"/>
                <w:bCs/>
              </w:rPr>
              <w:t xml:space="preserve">instead of just relying on the ARFCN </w:t>
            </w:r>
            <w:r>
              <w:rPr>
                <w:rFonts w:ascii="Arial" w:eastAsia="MS Mincho" w:hAnsi="Arial" w:cs="Arial"/>
                <w:bCs/>
              </w:rPr>
              <w:t>is also useful and should be supported</w:t>
            </w:r>
            <w:r>
              <w:rPr>
                <w:rFonts w:ascii="Arial" w:eastAsia="MS Mincho" w:hAnsi="Arial" w:cs="Arial"/>
                <w:bCs/>
              </w:rPr>
              <w:t>.</w:t>
            </w:r>
          </w:p>
          <w:p w14:paraId="5E640A30" w14:textId="77777777" w:rsidR="002E3C50" w:rsidRDefault="002E3C50" w:rsidP="00736AF6">
            <w:pPr>
              <w:spacing w:after="0"/>
              <w:rPr>
                <w:rFonts w:ascii="Arial" w:eastAsia="MS Mincho" w:hAnsi="Arial" w:cs="Arial"/>
                <w:bCs/>
              </w:rPr>
            </w:pPr>
          </w:p>
          <w:p w14:paraId="0E2F25DB" w14:textId="0BBBCEF8" w:rsidR="00736AF6" w:rsidRDefault="002E3C50" w:rsidP="00FB0E01">
            <w:pPr>
              <w:spacing w:after="0"/>
              <w:rPr>
                <w:rFonts w:ascii="Arial" w:eastAsia="MS Mincho" w:hAnsi="Arial" w:cs="Arial"/>
                <w:bCs/>
              </w:rPr>
            </w:pPr>
            <w:r>
              <w:rPr>
                <w:rFonts w:ascii="Arial" w:eastAsia="MS Mincho" w:hAnsi="Arial" w:cs="Arial"/>
                <w:bCs/>
              </w:rPr>
              <w:t>Then, for report</w:t>
            </w:r>
            <w:r w:rsidR="006A3CE9">
              <w:rPr>
                <w:rFonts w:ascii="Arial" w:eastAsia="MS Mincho" w:hAnsi="Arial" w:cs="Arial"/>
                <w:bCs/>
              </w:rPr>
              <w:t>ing</w:t>
            </w:r>
            <w:r>
              <w:rPr>
                <w:rFonts w:ascii="Arial" w:eastAsia="MS Mincho" w:hAnsi="Arial" w:cs="Arial"/>
                <w:bCs/>
              </w:rPr>
              <w:t xml:space="preserve"> more granular information for both serving frequency and non-serving frequency,</w:t>
            </w:r>
            <w:r>
              <w:rPr>
                <w:rFonts w:ascii="Arial" w:eastAsia="MS Mincho" w:hAnsi="Arial" w:cs="Arial"/>
                <w:bCs/>
              </w:rPr>
              <w:t xml:space="preserve"> w</w:t>
            </w:r>
            <w:r w:rsidR="008F7546">
              <w:rPr>
                <w:rFonts w:ascii="Arial" w:eastAsia="MS Mincho" w:hAnsi="Arial" w:cs="Arial"/>
                <w:bCs/>
              </w:rPr>
              <w:t xml:space="preserve">e </w:t>
            </w:r>
            <w:r>
              <w:rPr>
                <w:rFonts w:ascii="Arial" w:eastAsia="MS Mincho" w:hAnsi="Arial" w:cs="Arial"/>
                <w:bCs/>
              </w:rPr>
              <w:t>agree with other companies that</w:t>
            </w:r>
            <w:r w:rsidR="001E1481">
              <w:rPr>
                <w:rFonts w:ascii="Arial" w:eastAsia="MS Mincho" w:hAnsi="Arial" w:cs="Arial"/>
                <w:bCs/>
              </w:rPr>
              <w:t xml:space="preserve"> there is</w:t>
            </w:r>
            <w:r>
              <w:rPr>
                <w:rFonts w:ascii="Arial" w:eastAsia="MS Mincho" w:hAnsi="Arial" w:cs="Arial"/>
                <w:bCs/>
              </w:rPr>
              <w:t xml:space="preserve"> </w:t>
            </w:r>
            <w:r>
              <w:rPr>
                <w:rFonts w:ascii="Arial" w:eastAsia="MS Mincho" w:hAnsi="Arial" w:cs="Arial"/>
                <w:bCs/>
              </w:rPr>
              <w:t xml:space="preserve">no strong </w:t>
            </w:r>
            <w:r w:rsidR="008F7546">
              <w:rPr>
                <w:rFonts w:ascii="Arial" w:eastAsia="MS Mincho" w:hAnsi="Arial" w:cs="Arial"/>
                <w:bCs/>
              </w:rPr>
              <w:t>motivation to have different solutions</w:t>
            </w:r>
            <w:r w:rsidR="00285E19">
              <w:rPr>
                <w:rFonts w:ascii="Arial" w:eastAsia="MS Mincho" w:hAnsi="Arial" w:cs="Arial"/>
                <w:bCs/>
              </w:rPr>
              <w:t xml:space="preserve"> as this will clearly increase the standardisation efforts </w:t>
            </w:r>
            <w:r>
              <w:rPr>
                <w:rFonts w:ascii="Arial" w:eastAsia="MS Mincho" w:hAnsi="Arial" w:cs="Arial"/>
                <w:bCs/>
              </w:rPr>
              <w:t>and the</w:t>
            </w:r>
            <w:r w:rsidR="001E1481">
              <w:rPr>
                <w:rFonts w:ascii="Arial" w:eastAsia="MS Mincho" w:hAnsi="Arial" w:cs="Arial"/>
                <w:bCs/>
              </w:rPr>
              <w:t xml:space="preserve"> time for completing this</w:t>
            </w:r>
            <w:r>
              <w:rPr>
                <w:rFonts w:ascii="Arial" w:eastAsia="MS Mincho" w:hAnsi="Arial" w:cs="Arial"/>
                <w:bCs/>
              </w:rPr>
              <w:t xml:space="preserve"> WI is very limited</w:t>
            </w:r>
            <w:r w:rsidR="008F7546">
              <w:rPr>
                <w:rFonts w:ascii="Arial" w:eastAsia="MS Mincho" w:hAnsi="Arial" w:cs="Arial"/>
                <w:bCs/>
              </w:rPr>
              <w:t xml:space="preserve">. </w:t>
            </w:r>
          </w:p>
        </w:tc>
      </w:tr>
      <w:tr w:rsidR="00736AF6"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77777777" w:rsidR="00736AF6" w:rsidRDefault="00736AF6" w:rsidP="00736AF6">
            <w:pPr>
              <w:spacing w:after="0"/>
              <w:rPr>
                <w:rFonts w:ascii="Arial" w:eastAsia="MS Mincho" w:hAnsi="Arial" w:cs="Arial"/>
                <w:bCs/>
              </w:rPr>
            </w:pPr>
          </w:p>
        </w:tc>
      </w:tr>
      <w:tr w:rsidR="00736AF6"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36AF6" w:rsidRDefault="00736AF6" w:rsidP="00736AF6">
            <w:pPr>
              <w:spacing w:after="0"/>
              <w:rPr>
                <w:rFonts w:ascii="Arial" w:eastAsia="MS Mincho" w:hAnsi="Arial" w:cs="Arial"/>
                <w:bCs/>
              </w:rPr>
            </w:pPr>
          </w:p>
        </w:tc>
      </w:tr>
    </w:tbl>
    <w:p w14:paraId="13A07EE4" w14:textId="77777777" w:rsidR="007159BE" w:rsidRDefault="007159B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Option 5 is “Measurement object ID” and is described in [5]. The proponent of this solution clarified that this solution is for LTE frequencies only. In the LTE IDC solution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InDeviceCoexIndication-r11-IEs ::=</w:t>
      </w:r>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r>
      <w:proofErr w:type="spellStart"/>
      <w:r>
        <w:rPr>
          <w:highlight w:val="yellow"/>
        </w:rPr>
        <w:t>AffectedCarrierFreqList-r11</w:t>
      </w:r>
      <w:proofErr w:type="spellEnd"/>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r>
      <w:proofErr w:type="spellStart"/>
      <w:r>
        <w:t>TDM-AssistanceInfo-r11</w:t>
      </w:r>
      <w:proofErr w:type="spellEnd"/>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AffectedCarrierFreqList-r11 ::=</w:t>
      </w:r>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AffectedCarrierFreq-r11 ::=</w:t>
      </w:r>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The rapporteur’s understanding of the proposed Option 5 is not that it is an alternative to Option 1/2/2a/3/4/6, but rather a proposal to stick to the current way of indicating problematic frequencies in LTE, i.e.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(i.e.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36AF6"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238BF379" w:rsidR="00736AF6"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44879FD1" w14:textId="4B082294" w:rsidR="00736AF6" w:rsidRDefault="00736AF6"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20AEC8E" w14:textId="12235565" w:rsidR="00736AF6" w:rsidRDefault="00736AF6" w:rsidP="00736AF6">
            <w:pPr>
              <w:spacing w:after="0"/>
              <w:rPr>
                <w:rFonts w:ascii="Arial" w:eastAsia="MS Mincho" w:hAnsi="Arial" w:cs="Arial"/>
                <w:bCs/>
              </w:rPr>
            </w:pPr>
            <w:r>
              <w:rPr>
                <w:rFonts w:ascii="Arial" w:eastAsia="MS Mincho" w:hAnsi="Arial" w:cs="Arial"/>
                <w:bCs/>
              </w:rPr>
              <w:t>Agree with Nokia.</w:t>
            </w:r>
          </w:p>
        </w:tc>
      </w:tr>
      <w:tr w:rsidR="00736AF6"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69735F4D" w:rsidR="00736AF6" w:rsidRDefault="00B71887" w:rsidP="00736AF6">
            <w:pPr>
              <w:spacing w:after="0"/>
              <w:rPr>
                <w:rFonts w:ascii="Arial" w:eastAsia="MS Mincho" w:hAnsi="Arial" w:cs="Arial"/>
                <w:bCs/>
              </w:rPr>
            </w:pPr>
            <w:r w:rsidRPr="00B71887">
              <w:rPr>
                <w:rFonts w:ascii="Arial" w:eastAsia="MS Mincho" w:hAnsi="Arial" w:cs="Arial"/>
                <w:bCs/>
              </w:rPr>
              <w:t>Huawei, HiSilicon</w:t>
            </w:r>
          </w:p>
        </w:tc>
        <w:tc>
          <w:tcPr>
            <w:tcW w:w="908" w:type="dxa"/>
            <w:tcBorders>
              <w:top w:val="single" w:sz="4" w:space="0" w:color="auto"/>
              <w:left w:val="single" w:sz="4" w:space="0" w:color="auto"/>
              <w:bottom w:val="single" w:sz="4" w:space="0" w:color="auto"/>
              <w:right w:val="single" w:sz="4" w:space="0" w:color="auto"/>
            </w:tcBorders>
          </w:tcPr>
          <w:p w14:paraId="2E0A9281" w14:textId="56C068B3" w:rsidR="00736AF6" w:rsidRDefault="00B71887"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36AF6" w:rsidRDefault="00736AF6" w:rsidP="00736AF6">
            <w:pPr>
              <w:spacing w:after="0"/>
              <w:rPr>
                <w:rFonts w:ascii="Arial" w:eastAsia="MS Mincho" w:hAnsi="Arial" w:cs="Arial"/>
                <w:bCs/>
              </w:rPr>
            </w:pPr>
          </w:p>
        </w:tc>
      </w:tr>
    </w:tbl>
    <w:p w14:paraId="49A05360" w14:textId="77777777" w:rsidR="007159BE" w:rsidRDefault="007159BE">
      <w:pPr>
        <w:rPr>
          <w:rFonts w:ascii="Arial" w:hAnsi="Arial"/>
          <w:lang w:eastAsia="zh-CN"/>
        </w:rPr>
      </w:pPr>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lastRenderedPageBreak/>
        <w:t>Q4: What are technical benefits and drawbacks of a solution where the UE indicates a frequency region (e.g.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definitely better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 xml:space="preserve">For Option 1, the field (i.e. </w:t>
            </w:r>
            <w:proofErr w:type="spellStart"/>
            <w:r>
              <w:rPr>
                <w:i/>
                <w:lang w:eastAsia="zh-CN"/>
              </w:rPr>
              <w:t>candidateServingFreqListNR</w:t>
            </w:r>
            <w:proofErr w:type="spellEnd"/>
            <w:r>
              <w:rPr>
                <w:rFonts w:ascii="Arial" w:eastAsia="MS Mincho" w:hAnsi="Arial" w:cs="Arial"/>
                <w:bCs/>
              </w:rPr>
              <w:t xml:space="preserve">) for the IDC configuration provided by the </w:t>
            </w:r>
            <w:proofErr w:type="spellStart"/>
            <w:r>
              <w:rPr>
                <w:rFonts w:ascii="Arial" w:eastAsia="MS Mincho" w:hAnsi="Arial" w:cs="Arial"/>
                <w:bCs/>
              </w:rPr>
              <w:t>gNB</w:t>
            </w:r>
            <w:proofErr w:type="spellEnd"/>
            <w:r>
              <w:rPr>
                <w:rFonts w:ascii="Arial" w:eastAsia="MS Mincho" w:hAnsi="Arial" w:cs="Arial"/>
                <w:bCs/>
              </w:rPr>
              <w:t xml:space="preserve">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w:t>
            </w:r>
            <w:proofErr w:type="spellStart"/>
            <w:r>
              <w:rPr>
                <w:rFonts w:ascii="Arial" w:eastAsia="MS Mincho" w:hAnsi="Arial" w:cs="Arial"/>
                <w:bCs/>
              </w:rPr>
              <w:t>gNB</w:t>
            </w:r>
            <w:proofErr w:type="spellEnd"/>
            <w:r>
              <w:rPr>
                <w:rFonts w:ascii="Arial" w:eastAsia="MS Mincho" w:hAnsi="Arial" w:cs="Arial"/>
                <w:bCs/>
              </w:rPr>
              <w:t xml:space="preserve">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These solutions could apply to both serving and non-serving frequency;</w:t>
            </w:r>
          </w:p>
          <w:p w14:paraId="6157AE22" w14:textId="77777777" w:rsidR="007159BE" w:rsidRDefault="007D3121">
            <w:pPr>
              <w:pStyle w:val="ListParagraph"/>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Much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overhead if the affected frequencies are discrete; Even for a single range of frequency, it brings more overhead compared with BWP ID;</w:t>
            </w:r>
          </w:p>
          <w:p w14:paraId="15D59159"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t’s not clear how to signal the start frequency, end frequency, and also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 xml:space="preserve">High granularity indication that allows the </w:t>
            </w:r>
            <w:proofErr w:type="spellStart"/>
            <w:r>
              <w:rPr>
                <w:rFonts w:ascii="Arial" w:eastAsia="MS Mincho" w:hAnsi="Arial" w:cs="Arial"/>
                <w:bCs/>
              </w:rPr>
              <w:t>gNB</w:t>
            </w:r>
            <w:proofErr w:type="spellEnd"/>
            <w:r>
              <w:rPr>
                <w:rFonts w:ascii="Arial" w:eastAsia="MS Mincho" w:hAnsi="Arial" w:cs="Arial"/>
                <w:bCs/>
              </w:rPr>
              <w:t xml:space="preserve">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w:t>
            </w:r>
            <w:proofErr w:type="spellStart"/>
            <w:r>
              <w:rPr>
                <w:rFonts w:ascii="Arial" w:eastAsia="MS Mincho" w:hAnsi="Arial" w:cs="Arial"/>
                <w:bCs/>
              </w:rPr>
              <w:t>gNB</w:t>
            </w:r>
            <w:proofErr w:type="spellEnd"/>
            <w:r>
              <w:rPr>
                <w:rFonts w:ascii="Arial" w:eastAsia="MS Mincho" w:hAnsi="Arial" w:cs="Arial"/>
                <w:bCs/>
              </w:rPr>
              <w:t xml:space="preserve"> and cause the </w:t>
            </w:r>
            <w:proofErr w:type="spellStart"/>
            <w:r>
              <w:rPr>
                <w:rFonts w:ascii="Arial" w:eastAsia="MS Mincho" w:hAnsi="Arial" w:cs="Arial"/>
                <w:bCs/>
              </w:rPr>
              <w:t>gNB</w:t>
            </w:r>
            <w:proofErr w:type="spellEnd"/>
            <w:r>
              <w:rPr>
                <w:rFonts w:ascii="Arial" w:eastAsia="MS Mincho" w:hAnsi="Arial" w:cs="Arial"/>
                <w:bCs/>
              </w:rPr>
              <w:t xml:space="preserve">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36AF6"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02BC7D1"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5A9D891F" w14:textId="0BC73C90" w:rsidR="00736AF6" w:rsidRDefault="00736AF6" w:rsidP="00736AF6">
            <w:pPr>
              <w:spacing w:after="0"/>
              <w:rPr>
                <w:rFonts w:ascii="Arial" w:eastAsia="MS Mincho" w:hAnsi="Arial" w:cs="Arial"/>
                <w:bCs/>
              </w:rPr>
            </w:pPr>
            <w:r>
              <w:rPr>
                <w:rFonts w:ascii="Arial" w:eastAsia="MS Mincho" w:hAnsi="Arial" w:cs="Arial"/>
                <w:bCs/>
              </w:rPr>
              <w:t xml:space="preserve">General comment is that Option 1/2/2a/4/6 are all based on reporting a frequency region, the difference </w:t>
            </w:r>
            <w:r w:rsidR="0034380C">
              <w:rPr>
                <w:rFonts w:ascii="Arial" w:eastAsia="MS Mincho" w:hAnsi="Arial" w:cs="Arial"/>
                <w:bCs/>
              </w:rPr>
              <w:t>is</w:t>
            </w:r>
            <w:r>
              <w:rPr>
                <w:rFonts w:ascii="Arial" w:eastAsia="MS Mincho" w:hAnsi="Arial" w:cs="Arial"/>
                <w:bCs/>
              </w:rPr>
              <w:t xml:space="preserve"> mainly about indication method and granularity. </w:t>
            </w:r>
          </w:p>
          <w:p w14:paraId="68A25ABA" w14:textId="77777777" w:rsidR="00736AF6" w:rsidRDefault="00736AF6" w:rsidP="00736AF6">
            <w:pPr>
              <w:spacing w:after="0"/>
              <w:rPr>
                <w:rFonts w:ascii="Arial" w:eastAsia="MS Mincho" w:hAnsi="Arial" w:cs="Arial"/>
                <w:bCs/>
              </w:rPr>
            </w:pPr>
          </w:p>
          <w:p w14:paraId="377F8410" w14:textId="77777777" w:rsidR="00736AF6" w:rsidRDefault="00736AF6" w:rsidP="00736AF6">
            <w:pPr>
              <w:spacing w:after="0"/>
              <w:rPr>
                <w:rFonts w:ascii="Arial" w:eastAsia="MS Mincho" w:hAnsi="Arial" w:cs="Arial"/>
                <w:bCs/>
              </w:rPr>
            </w:pPr>
            <w:r>
              <w:rPr>
                <w:rFonts w:ascii="Arial" w:eastAsia="MS Mincho" w:hAnsi="Arial" w:cs="Arial"/>
                <w:bCs/>
              </w:rPr>
              <w:t>For option 1 and 2a, the granularity of bandwidth is not clear.</w:t>
            </w:r>
          </w:p>
          <w:p w14:paraId="31FA2245" w14:textId="77777777" w:rsidR="00736AF6" w:rsidRDefault="00736AF6" w:rsidP="00736AF6">
            <w:pPr>
              <w:spacing w:after="0"/>
              <w:rPr>
                <w:rFonts w:ascii="Arial" w:eastAsia="MS Mincho" w:hAnsi="Arial" w:cs="Arial"/>
                <w:bCs/>
              </w:rPr>
            </w:pPr>
          </w:p>
          <w:p w14:paraId="64017D57" w14:textId="77777777" w:rsidR="00736AF6" w:rsidRDefault="00736AF6" w:rsidP="00736AF6">
            <w:pPr>
              <w:spacing w:after="0"/>
              <w:rPr>
                <w:rFonts w:ascii="Arial" w:eastAsia="MS Mincho" w:hAnsi="Arial" w:cs="Arial"/>
                <w:bCs/>
              </w:rPr>
            </w:pPr>
            <w:r>
              <w:rPr>
                <w:rFonts w:ascii="Arial" w:eastAsia="MS Mincho" w:hAnsi="Arial" w:cs="Arial"/>
                <w:bCs/>
              </w:rPr>
              <w:lastRenderedPageBreak/>
              <w:t xml:space="preserve">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then exactly same solution can be </w:t>
            </w:r>
            <w:proofErr w:type="spellStart"/>
            <w:r>
              <w:rPr>
                <w:rFonts w:ascii="Arial" w:eastAsia="MS Mincho" w:hAnsi="Arial" w:cs="Arial"/>
                <w:bCs/>
              </w:rPr>
              <w:t>use</w:t>
            </w:r>
            <w:proofErr w:type="spellEnd"/>
            <w:r>
              <w:rPr>
                <w:rFonts w:ascii="Arial" w:eastAsia="MS Mincho" w:hAnsi="Arial" w:cs="Arial"/>
                <w:bCs/>
              </w:rPr>
              <w:t xml:space="preserve"> for both serving and non-serving frequencies.</w:t>
            </w:r>
            <w:r w:rsidRPr="00F431DE">
              <w:rPr>
                <w:rFonts w:ascii="Arial" w:eastAsia="MS Mincho" w:hAnsi="Arial" w:cs="Arial"/>
                <w:bCs/>
              </w:rPr>
              <w:t xml:space="preserve"> </w:t>
            </w:r>
          </w:p>
          <w:p w14:paraId="497C1A2B" w14:textId="28326F5D" w:rsidR="00736AF6" w:rsidRDefault="00736AF6" w:rsidP="00736AF6">
            <w:pPr>
              <w:spacing w:after="0"/>
              <w:rPr>
                <w:rFonts w:ascii="Arial" w:eastAsia="MS Mincho" w:hAnsi="Arial" w:cs="Arial"/>
                <w:bCs/>
              </w:rPr>
            </w:pPr>
            <w:r>
              <w:rPr>
                <w:rFonts w:ascii="Arial" w:eastAsia="MS Mincho" w:hAnsi="Arial" w:cs="Arial"/>
                <w:bCs/>
              </w:rPr>
              <w:t xml:space="preserve"> </w:t>
            </w:r>
          </w:p>
        </w:tc>
        <w:tc>
          <w:tcPr>
            <w:tcW w:w="4397" w:type="dxa"/>
            <w:tcBorders>
              <w:top w:val="single" w:sz="4" w:space="0" w:color="auto"/>
              <w:left w:val="single" w:sz="4" w:space="0" w:color="auto"/>
              <w:bottom w:val="single" w:sz="4" w:space="0" w:color="auto"/>
              <w:right w:val="single" w:sz="4" w:space="0" w:color="auto"/>
            </w:tcBorders>
          </w:tcPr>
          <w:p w14:paraId="3904B538" w14:textId="205613D0" w:rsidR="00736AF6" w:rsidRDefault="00736AF6" w:rsidP="00736AF6">
            <w:pPr>
              <w:spacing w:after="0"/>
              <w:rPr>
                <w:rFonts w:ascii="Arial" w:eastAsia="MS Mincho" w:hAnsi="Arial" w:cs="Arial"/>
                <w:bCs/>
              </w:rPr>
            </w:pPr>
            <w:r>
              <w:rPr>
                <w:rFonts w:ascii="Arial" w:eastAsia="MS Mincho" w:hAnsi="Arial" w:cs="Arial"/>
                <w:bCs/>
              </w:rPr>
              <w:lastRenderedPageBreak/>
              <w:t xml:space="preserve">There might be larger signalling overhead 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In particular, the signalling overhead is largest for option 2 since end frequency is also indicated in </w:t>
            </w:r>
            <w:r w:rsidRPr="00F431DE">
              <w:rPr>
                <w:rFonts w:ascii="Arial" w:eastAsia="MS Mincho" w:hAnsi="Arial" w:cs="Arial"/>
                <w:bCs/>
                <w:i/>
                <w:iCs/>
              </w:rPr>
              <w:t>ARFCN-</w:t>
            </w:r>
            <w:proofErr w:type="spellStart"/>
            <w:r w:rsidRPr="00F431DE">
              <w:rPr>
                <w:rFonts w:ascii="Arial" w:eastAsia="MS Mincho" w:hAnsi="Arial" w:cs="Arial"/>
                <w:bCs/>
                <w:i/>
                <w:iCs/>
              </w:rPr>
              <w:t>ValueN</w:t>
            </w:r>
            <w:r>
              <w:rPr>
                <w:rFonts w:ascii="Arial" w:eastAsia="MS Mincho" w:hAnsi="Arial" w:cs="Arial"/>
                <w:bCs/>
                <w:i/>
                <w:iCs/>
              </w:rPr>
              <w:t>R</w:t>
            </w:r>
            <w:proofErr w:type="spellEnd"/>
            <w:r>
              <w:rPr>
                <w:rFonts w:ascii="Arial" w:eastAsia="MS Mincho" w:hAnsi="Arial" w:cs="Arial"/>
                <w:bCs/>
                <w:i/>
                <w:iCs/>
              </w:rPr>
              <w:t xml:space="preserve"> </w:t>
            </w:r>
            <w:r>
              <w:rPr>
                <w:rFonts w:ascii="Arial" w:eastAsia="MS Mincho" w:hAnsi="Arial" w:cs="Arial"/>
                <w:bCs/>
              </w:rPr>
              <w:t>(</w:t>
            </w:r>
            <w:r w:rsidR="0088447A">
              <w:rPr>
                <w:rFonts w:ascii="Arial" w:eastAsia="MS Mincho" w:hAnsi="Arial" w:cs="Arial"/>
                <w:bCs/>
              </w:rPr>
              <w:t xml:space="preserve">but </w:t>
            </w:r>
            <w:r>
              <w:rPr>
                <w:rFonts w:ascii="Arial" w:eastAsia="MS Mincho" w:hAnsi="Arial" w:cs="Arial"/>
                <w:bCs/>
              </w:rPr>
              <w:t xml:space="preserve">the start and end frequency </w:t>
            </w:r>
            <w:r>
              <w:rPr>
                <w:rFonts w:ascii="Arial" w:eastAsia="MS Mincho" w:hAnsi="Arial" w:cs="Arial"/>
                <w:bCs/>
              </w:rPr>
              <w:lastRenderedPageBreak/>
              <w:t xml:space="preserve">should be relatively close in terms of </w:t>
            </w:r>
            <w:r w:rsidRPr="00741D8F">
              <w:rPr>
                <w:rFonts w:ascii="Arial" w:eastAsia="MS Mincho" w:hAnsi="Arial" w:cs="Arial"/>
                <w:bCs/>
                <w:i/>
                <w:iCs/>
              </w:rPr>
              <w:t>ARFCN-</w:t>
            </w:r>
            <w:proofErr w:type="spellStart"/>
            <w:r w:rsidRPr="00741D8F">
              <w:rPr>
                <w:rFonts w:ascii="Arial" w:eastAsia="MS Mincho" w:hAnsi="Arial" w:cs="Arial"/>
                <w:bCs/>
                <w:i/>
                <w:iCs/>
              </w:rPr>
              <w:t>ValueNR</w:t>
            </w:r>
            <w:proofErr w:type="spellEnd"/>
            <w:r>
              <w:rPr>
                <w:rFonts w:ascii="Arial" w:eastAsia="MS Mincho" w:hAnsi="Arial" w:cs="Arial"/>
                <w:bCs/>
              </w:rPr>
              <w:t xml:space="preserve">).  </w:t>
            </w:r>
          </w:p>
        </w:tc>
      </w:tr>
      <w:tr w:rsidR="00736AF6"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6E364C99" w:rsidR="00736AF6" w:rsidRDefault="00B71887" w:rsidP="00736AF6">
            <w:pPr>
              <w:spacing w:after="0"/>
              <w:rPr>
                <w:rFonts w:ascii="Arial" w:eastAsia="MS Mincho" w:hAnsi="Arial" w:cs="Arial"/>
                <w:bCs/>
              </w:rPr>
            </w:pPr>
            <w:r w:rsidRPr="00B71887">
              <w:rPr>
                <w:rFonts w:ascii="Arial" w:eastAsia="MS Mincho" w:hAnsi="Arial" w:cs="Arial"/>
                <w:bCs/>
              </w:rPr>
              <w:lastRenderedPageBreak/>
              <w:t>Huawei, HiSilicon</w:t>
            </w:r>
          </w:p>
        </w:tc>
        <w:tc>
          <w:tcPr>
            <w:tcW w:w="3876" w:type="dxa"/>
            <w:tcBorders>
              <w:top w:val="single" w:sz="4" w:space="0" w:color="auto"/>
              <w:left w:val="single" w:sz="4" w:space="0" w:color="auto"/>
              <w:bottom w:val="single" w:sz="4" w:space="0" w:color="auto"/>
              <w:right w:val="single" w:sz="4" w:space="0" w:color="auto"/>
            </w:tcBorders>
          </w:tcPr>
          <w:p w14:paraId="470D16CF" w14:textId="6449B8CB" w:rsidR="00B71887" w:rsidRPr="00AB2D56" w:rsidRDefault="00B71887"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t>The solution is applicable for both serving and non-serving frequency.</w:t>
            </w:r>
          </w:p>
          <w:p w14:paraId="00635FE4" w14:textId="210BAC46" w:rsidR="0091749D" w:rsidRPr="00AB2D56" w:rsidRDefault="001B4F11"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t xml:space="preserve">With the frequency </w:t>
            </w:r>
            <w:r w:rsidR="00AB2D56" w:rsidRPr="00AB2D56">
              <w:rPr>
                <w:rFonts w:ascii="Arial" w:eastAsia="MS Mincho" w:hAnsi="Arial" w:cs="Arial"/>
                <w:bCs/>
                <w:lang w:val="en-US"/>
              </w:rPr>
              <w:t>range-based</w:t>
            </w:r>
            <w:r w:rsidRPr="00AB2D56">
              <w:rPr>
                <w:rFonts w:ascii="Arial" w:eastAsia="MS Mincho" w:hAnsi="Arial" w:cs="Arial"/>
                <w:bCs/>
                <w:lang w:val="en-US"/>
              </w:rPr>
              <w:t xml:space="preserve"> solution, </w:t>
            </w:r>
            <w:proofErr w:type="spellStart"/>
            <w:r w:rsidRPr="00AB2D56">
              <w:rPr>
                <w:rFonts w:ascii="Arial" w:eastAsia="MS Mincho" w:hAnsi="Arial" w:cs="Arial"/>
                <w:bCs/>
                <w:lang w:val="en-US"/>
              </w:rPr>
              <w:t>gNB</w:t>
            </w:r>
            <w:proofErr w:type="spellEnd"/>
            <w:r w:rsidR="001E553A" w:rsidRPr="00AB2D56">
              <w:rPr>
                <w:rFonts w:ascii="Arial" w:eastAsia="MS Mincho" w:hAnsi="Arial" w:cs="Arial"/>
                <w:bCs/>
                <w:lang w:val="en-US"/>
              </w:rPr>
              <w:t xml:space="preserve"> has full flexibility </w:t>
            </w:r>
            <w:r w:rsidR="0091749D" w:rsidRPr="00AB2D56">
              <w:rPr>
                <w:rFonts w:ascii="Arial" w:eastAsia="MS Mincho" w:hAnsi="Arial" w:cs="Arial"/>
                <w:bCs/>
                <w:lang w:val="en-US"/>
              </w:rPr>
              <w:t xml:space="preserve">on how </w:t>
            </w:r>
            <w:r w:rsidR="001E553A" w:rsidRPr="00AB2D56">
              <w:rPr>
                <w:rFonts w:ascii="Arial" w:eastAsia="MS Mincho" w:hAnsi="Arial" w:cs="Arial"/>
                <w:bCs/>
                <w:lang w:val="en-US"/>
              </w:rPr>
              <w:t>to configure the frequency range</w:t>
            </w:r>
            <w:r w:rsidR="0091749D" w:rsidRPr="00AB2D56">
              <w:rPr>
                <w:rFonts w:ascii="Arial" w:eastAsia="MS Mincho" w:hAnsi="Arial" w:cs="Arial"/>
                <w:bCs/>
                <w:lang w:val="en-US"/>
              </w:rPr>
              <w:t xml:space="preserve"> for granular reporting</w:t>
            </w:r>
            <w:r w:rsidR="001E553A" w:rsidRPr="00AB2D56">
              <w:rPr>
                <w:rFonts w:ascii="Arial" w:eastAsia="MS Mincho" w:hAnsi="Arial" w:cs="Arial"/>
                <w:bCs/>
                <w:lang w:val="en-US"/>
              </w:rPr>
              <w:t xml:space="preserve">. </w:t>
            </w:r>
          </w:p>
          <w:p w14:paraId="0F80610C" w14:textId="46481951"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can be as w</w:t>
            </w:r>
            <w:bookmarkStart w:id="1" w:name="_GoBack"/>
            <w:bookmarkEnd w:id="1"/>
            <w:r w:rsidR="001E553A" w:rsidRPr="00AB2D56">
              <w:rPr>
                <w:rFonts w:ascii="Arial" w:eastAsia="MS Mincho" w:hAnsi="Arial" w:cs="Arial"/>
                <w:bCs/>
                <w:lang w:val="en-US"/>
              </w:rPr>
              <w:t xml:space="preserve">ide as the BWP or </w:t>
            </w:r>
          </w:p>
          <w:p w14:paraId="5ED006B2" w14:textId="5622192F"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can be as narrow as the few PRBs</w:t>
            </w:r>
            <w:r w:rsidR="00F15C36" w:rsidRPr="00AB2D56">
              <w:rPr>
                <w:rFonts w:ascii="Arial" w:eastAsia="MS Mincho" w:hAnsi="Arial" w:cs="Arial"/>
                <w:bCs/>
                <w:lang w:val="en-US"/>
              </w:rPr>
              <w:t xml:space="preserve"> </w:t>
            </w:r>
          </w:p>
          <w:p w14:paraId="0F6C2CCD" w14:textId="43105F99" w:rsidR="00B71887" w:rsidRPr="00AB2D56" w:rsidRDefault="001E553A" w:rsidP="00576B6F">
            <w:pPr>
              <w:ind w:left="378"/>
              <w:rPr>
                <w:rFonts w:ascii="Arial" w:eastAsia="MS Mincho" w:hAnsi="Arial" w:cs="Arial"/>
                <w:bCs/>
                <w:sz w:val="22"/>
                <w:szCs w:val="22"/>
                <w:lang w:val="en-US"/>
              </w:rPr>
            </w:pPr>
            <w:r w:rsidRPr="00AB2D56">
              <w:rPr>
                <w:rFonts w:ascii="Arial" w:eastAsia="MS Mincho" w:hAnsi="Arial" w:cs="Arial"/>
                <w:bCs/>
                <w:sz w:val="22"/>
                <w:szCs w:val="22"/>
                <w:lang w:val="en-US"/>
              </w:rPr>
              <w:t xml:space="preserve">Hence </w:t>
            </w:r>
            <w:r w:rsidR="00F15C36" w:rsidRPr="00AB2D56">
              <w:rPr>
                <w:rFonts w:ascii="Arial" w:eastAsia="MS Mincho" w:hAnsi="Arial" w:cs="Arial"/>
                <w:bCs/>
                <w:sz w:val="22"/>
                <w:szCs w:val="22"/>
                <w:lang w:val="en-US"/>
              </w:rPr>
              <w:t>this option</w:t>
            </w:r>
            <w:r w:rsidRPr="00AB2D56">
              <w:rPr>
                <w:rFonts w:ascii="Arial" w:eastAsia="MS Mincho" w:hAnsi="Arial" w:cs="Arial"/>
                <w:bCs/>
                <w:sz w:val="22"/>
                <w:szCs w:val="22"/>
                <w:lang w:val="en-US"/>
              </w:rPr>
              <w:t xml:space="preserve"> </w:t>
            </w:r>
            <w:r w:rsidR="001B4F11" w:rsidRPr="00AB2D56">
              <w:rPr>
                <w:rFonts w:ascii="Arial" w:eastAsia="MS Mincho" w:hAnsi="Arial" w:cs="Arial"/>
                <w:bCs/>
                <w:sz w:val="22"/>
                <w:szCs w:val="22"/>
                <w:lang w:val="en-US"/>
              </w:rPr>
              <w:t>is most flexible</w:t>
            </w:r>
            <w:r w:rsidR="004149CF" w:rsidRPr="00AB2D56">
              <w:rPr>
                <w:rFonts w:ascii="Arial" w:eastAsia="MS Mincho" w:hAnsi="Arial" w:cs="Arial"/>
                <w:bCs/>
                <w:sz w:val="22"/>
                <w:szCs w:val="22"/>
                <w:lang w:val="en-US"/>
              </w:rPr>
              <w:t xml:space="preserve"> from network point of view</w:t>
            </w:r>
            <w:r w:rsidR="001B4F11" w:rsidRPr="00AB2D56">
              <w:rPr>
                <w:rFonts w:ascii="Arial" w:eastAsia="MS Mincho" w:hAnsi="Arial" w:cs="Arial"/>
                <w:bCs/>
                <w:sz w:val="22"/>
                <w:szCs w:val="22"/>
                <w:lang w:val="en-US"/>
              </w:rPr>
              <w:t xml:space="preserve"> as it </w:t>
            </w:r>
            <w:r w:rsidRPr="00AB2D56">
              <w:rPr>
                <w:rFonts w:ascii="Arial" w:eastAsia="MS Mincho" w:hAnsi="Arial" w:cs="Arial"/>
                <w:bCs/>
                <w:sz w:val="22"/>
                <w:szCs w:val="22"/>
                <w:lang w:val="en-US"/>
              </w:rPr>
              <w:t>can</w:t>
            </w:r>
            <w:r w:rsidR="00A013E9" w:rsidRPr="00AB2D56">
              <w:rPr>
                <w:rFonts w:ascii="Arial" w:eastAsia="MS Mincho" w:hAnsi="Arial" w:cs="Arial"/>
                <w:bCs/>
                <w:sz w:val="22"/>
                <w:szCs w:val="22"/>
                <w:lang w:val="en-US"/>
              </w:rPr>
              <w:t xml:space="preserve"> </w:t>
            </w:r>
            <w:r w:rsidR="00397D60" w:rsidRPr="00AB2D56">
              <w:rPr>
                <w:rFonts w:ascii="Arial" w:eastAsia="MS Mincho" w:hAnsi="Arial" w:cs="Arial"/>
                <w:bCs/>
                <w:sz w:val="22"/>
                <w:szCs w:val="22"/>
                <w:lang w:val="en-US"/>
              </w:rPr>
              <w:t xml:space="preserve">indirectly support </w:t>
            </w:r>
            <w:r w:rsidR="001B4F11" w:rsidRPr="00AB2D56">
              <w:rPr>
                <w:rFonts w:ascii="Arial" w:eastAsia="MS Mincho" w:hAnsi="Arial" w:cs="Arial"/>
                <w:bCs/>
                <w:sz w:val="22"/>
                <w:szCs w:val="22"/>
                <w:lang w:val="en-US"/>
              </w:rPr>
              <w:t>different</w:t>
            </w:r>
            <w:r w:rsidR="00A013E9" w:rsidRPr="00AB2D56">
              <w:rPr>
                <w:rFonts w:ascii="Arial" w:eastAsia="MS Mincho" w:hAnsi="Arial" w:cs="Arial"/>
                <w:bCs/>
                <w:sz w:val="22"/>
                <w:szCs w:val="22"/>
                <w:lang w:val="en-US"/>
              </w:rPr>
              <w:t xml:space="preserve"> range</w:t>
            </w:r>
            <w:r w:rsidR="001B4F11" w:rsidRPr="00AB2D56">
              <w:rPr>
                <w:rFonts w:ascii="Arial" w:eastAsia="MS Mincho" w:hAnsi="Arial" w:cs="Arial"/>
                <w:bCs/>
                <w:sz w:val="22"/>
                <w:szCs w:val="22"/>
                <w:lang w:val="en-US"/>
              </w:rPr>
              <w:t>s</w:t>
            </w:r>
            <w:r w:rsidR="00A013E9" w:rsidRPr="00AB2D56">
              <w:rPr>
                <w:rFonts w:ascii="Arial" w:eastAsia="MS Mincho" w:hAnsi="Arial" w:cs="Arial"/>
                <w:bCs/>
                <w:sz w:val="22"/>
                <w:szCs w:val="22"/>
                <w:lang w:val="en-US"/>
              </w:rPr>
              <w:t xml:space="preserve"> of granularity</w:t>
            </w:r>
            <w:r w:rsidR="008E3191" w:rsidRPr="00AB2D56">
              <w:rPr>
                <w:rFonts w:ascii="Arial" w:eastAsia="MS Mincho" w:hAnsi="Arial" w:cs="Arial"/>
                <w:bCs/>
                <w:sz w:val="22"/>
                <w:szCs w:val="22"/>
                <w:lang w:val="en-US"/>
              </w:rPr>
              <w:t xml:space="preserve"> within it</w:t>
            </w:r>
            <w:r w:rsidR="004149CF" w:rsidRPr="00AB2D56">
              <w:rPr>
                <w:rFonts w:ascii="Arial" w:eastAsia="MS Mincho" w:hAnsi="Arial" w:cs="Arial"/>
                <w:bCs/>
                <w:sz w:val="22"/>
                <w:szCs w:val="22"/>
                <w:lang w:val="en-US"/>
              </w:rPr>
              <w:t>,</w:t>
            </w:r>
            <w:r w:rsidR="001B4F11" w:rsidRPr="00AB2D56">
              <w:rPr>
                <w:rFonts w:ascii="Arial" w:eastAsia="MS Mincho" w:hAnsi="Arial" w:cs="Arial"/>
                <w:bCs/>
                <w:sz w:val="22"/>
                <w:szCs w:val="22"/>
                <w:lang w:val="en-US"/>
              </w:rPr>
              <w:t xml:space="preserve"> which is not available with other options</w:t>
            </w:r>
            <w:r w:rsidRPr="00AB2D56">
              <w:rPr>
                <w:rFonts w:ascii="Arial" w:eastAsia="MS Mincho" w:hAnsi="Arial" w:cs="Arial"/>
                <w:bCs/>
                <w:sz w:val="22"/>
                <w:szCs w:val="22"/>
                <w:lang w:val="en-US"/>
              </w:rPr>
              <w:t xml:space="preserve">. </w:t>
            </w:r>
          </w:p>
          <w:p w14:paraId="34FC31CF" w14:textId="290BE318" w:rsidR="001E553A" w:rsidRPr="00AB2D56" w:rsidRDefault="001E553A" w:rsidP="00576B6F">
            <w:pPr>
              <w:pStyle w:val="ListParagraph"/>
              <w:ind w:left="371"/>
              <w:rPr>
                <w:rFonts w:ascii="Arial" w:eastAsia="MS Mincho" w:hAnsi="Arial" w:cs="Arial"/>
                <w:bCs/>
                <w:lang w:val="en-US"/>
              </w:rPr>
            </w:pPr>
          </w:p>
          <w:p w14:paraId="652ABFB0" w14:textId="27F09571" w:rsidR="0049594F" w:rsidRPr="00AB2D56" w:rsidRDefault="0049594F" w:rsidP="00576B6F">
            <w:pPr>
              <w:pStyle w:val="ListParagraph"/>
              <w:numPr>
                <w:ilvl w:val="0"/>
                <w:numId w:val="19"/>
              </w:numPr>
              <w:ind w:left="378" w:hanging="283"/>
              <w:rPr>
                <w:rFonts w:ascii="Arial" w:eastAsia="MS Mincho" w:hAnsi="Arial" w:cs="Arial"/>
                <w:bCs/>
                <w:lang w:val="en-US"/>
              </w:rPr>
            </w:pPr>
            <w:r w:rsidRPr="00AB2D56">
              <w:rPr>
                <w:rFonts w:ascii="Arial" w:eastAsia="MS Mincho" w:hAnsi="Arial" w:cs="Arial"/>
                <w:bCs/>
                <w:lang w:val="en-US"/>
              </w:rPr>
              <w:t xml:space="preserve">The specification impact is small for Option 1 since </w:t>
            </w:r>
            <w:r w:rsidRPr="00AB2D56">
              <w:rPr>
                <w:rFonts w:ascii="Arial" w:eastAsia="MS Mincho" w:hAnsi="Arial" w:cs="Arial"/>
                <w:bCs/>
                <w:lang w:val="en-US"/>
              </w:rPr>
              <w:t>legacy</w:t>
            </w:r>
            <w:r w:rsidR="00002CA4" w:rsidRPr="00AB2D56">
              <w:rPr>
                <w:rFonts w:ascii="Arial" w:eastAsia="MS Mincho" w:hAnsi="Arial" w:cs="Arial"/>
                <w:bCs/>
                <w:lang w:val="en-US"/>
              </w:rPr>
              <w:t xml:space="preserve"> specification</w:t>
            </w:r>
            <w:r w:rsidR="00002CA4" w:rsidRPr="00AB2D56">
              <w:rPr>
                <w:rFonts w:ascii="Arial" w:eastAsia="MS Mincho" w:hAnsi="Arial" w:cs="Arial"/>
                <w:bCs/>
                <w:lang w:val="en-US"/>
              </w:rPr>
              <w:t xml:space="preserve"> has already support</w:t>
            </w:r>
            <w:r w:rsidR="00002CA4" w:rsidRPr="00AB2D56">
              <w:rPr>
                <w:rFonts w:ascii="Arial" w:eastAsia="MS Mincho" w:hAnsi="Arial" w:cs="Arial"/>
                <w:bCs/>
                <w:lang w:val="en-US"/>
              </w:rPr>
              <w:t xml:space="preserve"> </w:t>
            </w:r>
            <w:r w:rsidR="00002CA4" w:rsidRPr="00AB2D56">
              <w:rPr>
                <w:rFonts w:ascii="Arial" w:eastAsia="MS Mincho" w:hAnsi="Arial" w:cs="Arial"/>
                <w:bCs/>
                <w:lang w:val="en-US"/>
              </w:rPr>
              <w:t xml:space="preserve">the </w:t>
            </w:r>
            <w:r w:rsidRPr="00AB2D56">
              <w:rPr>
                <w:rFonts w:ascii="Arial" w:eastAsia="MS Mincho" w:hAnsi="Arial" w:cs="Arial"/>
                <w:bCs/>
                <w:lang w:val="en-US"/>
              </w:rPr>
              <w:t xml:space="preserve">report </w:t>
            </w:r>
            <w:r w:rsidR="00002CA4" w:rsidRPr="00AB2D56">
              <w:rPr>
                <w:rFonts w:ascii="Arial" w:eastAsia="MS Mincho" w:hAnsi="Arial" w:cs="Arial"/>
                <w:bCs/>
                <w:lang w:val="en-US"/>
              </w:rPr>
              <w:t xml:space="preserve">of </w:t>
            </w:r>
            <w:r w:rsidRPr="00AB2D56">
              <w:rPr>
                <w:rFonts w:ascii="Arial" w:eastAsia="MS Mincho" w:hAnsi="Arial" w:cs="Arial"/>
                <w:bCs/>
                <w:lang w:val="en-US"/>
              </w:rPr>
              <w:t xml:space="preserve">the </w:t>
            </w:r>
            <w:r w:rsidRPr="00AB2D56">
              <w:rPr>
                <w:rFonts w:ascii="Arial" w:eastAsia="MS Mincho" w:hAnsi="Arial" w:cs="Arial"/>
                <w:bCs/>
                <w:lang w:val="en-US"/>
              </w:rPr>
              <w:t xml:space="preserve">affected </w:t>
            </w:r>
            <w:r w:rsidRPr="00AB2D56">
              <w:rPr>
                <w:rFonts w:ascii="Arial" w:eastAsia="MS Mincho" w:hAnsi="Arial" w:cs="Arial"/>
                <w:bCs/>
                <w:lang w:val="en-US"/>
              </w:rPr>
              <w:t>central frequency</w:t>
            </w:r>
            <w:r w:rsidR="00002CA4" w:rsidRPr="00AB2D56">
              <w:rPr>
                <w:rFonts w:ascii="Arial" w:eastAsia="MS Mincho" w:hAnsi="Arial" w:cs="Arial"/>
                <w:bCs/>
                <w:lang w:val="en-US"/>
              </w:rPr>
              <w:t xml:space="preserve"> in the IDC UAI</w:t>
            </w:r>
            <w:r w:rsidRPr="00AB2D56">
              <w:rPr>
                <w:rFonts w:ascii="Arial" w:eastAsia="MS Mincho" w:hAnsi="Arial" w:cs="Arial"/>
                <w:bCs/>
                <w:lang w:val="en-US"/>
              </w:rPr>
              <w:t xml:space="preserve">. Only </w:t>
            </w:r>
            <w:r w:rsidRPr="00AB2D56">
              <w:rPr>
                <w:rFonts w:ascii="Arial" w:eastAsia="MS Mincho" w:hAnsi="Arial" w:cs="Arial"/>
                <w:bCs/>
                <w:lang w:val="en-US"/>
              </w:rPr>
              <w:t xml:space="preserve">actually affected </w:t>
            </w:r>
            <w:r w:rsidRPr="00AB2D56">
              <w:rPr>
                <w:rFonts w:ascii="Arial" w:eastAsia="MS Mincho" w:hAnsi="Arial" w:cs="Arial"/>
                <w:bCs/>
                <w:lang w:val="en-US"/>
              </w:rPr>
              <w:t xml:space="preserve">bandwidth </w:t>
            </w:r>
            <w:r w:rsidRPr="00AB2D56">
              <w:rPr>
                <w:rFonts w:ascii="Arial" w:eastAsia="MS Mincho" w:hAnsi="Arial" w:cs="Arial"/>
                <w:bCs/>
                <w:lang w:val="en-US"/>
              </w:rPr>
              <w:t>needs to be added on top of that.</w:t>
            </w:r>
          </w:p>
          <w:p w14:paraId="6CC0A899" w14:textId="67C68C9B" w:rsidR="00736AF6" w:rsidRPr="00AB2D56" w:rsidRDefault="00736AF6" w:rsidP="00736AF6">
            <w:pPr>
              <w:spacing w:after="0"/>
              <w:rPr>
                <w:rFonts w:ascii="Arial" w:eastAsia="MS Mincho" w:hAnsi="Arial" w:cs="Arial"/>
                <w:bCs/>
                <w:sz w:val="22"/>
                <w:szCs w:val="22"/>
              </w:rPr>
            </w:pPr>
          </w:p>
        </w:tc>
        <w:tc>
          <w:tcPr>
            <w:tcW w:w="4397" w:type="dxa"/>
            <w:tcBorders>
              <w:top w:val="single" w:sz="4" w:space="0" w:color="auto"/>
              <w:left w:val="single" w:sz="4" w:space="0" w:color="auto"/>
              <w:bottom w:val="single" w:sz="4" w:space="0" w:color="auto"/>
              <w:right w:val="single" w:sz="4" w:space="0" w:color="auto"/>
            </w:tcBorders>
          </w:tcPr>
          <w:p w14:paraId="3610EB72" w14:textId="1C7699C7" w:rsidR="00736AF6" w:rsidRPr="00AB2D56" w:rsidRDefault="0081425E" w:rsidP="00736AF6">
            <w:pPr>
              <w:spacing w:after="0"/>
              <w:rPr>
                <w:rFonts w:ascii="Arial" w:eastAsiaTheme="minorEastAsia" w:hAnsi="Arial" w:cs="Arial"/>
                <w:bCs/>
                <w:sz w:val="22"/>
                <w:szCs w:val="22"/>
                <w:lang w:eastAsia="zh-CN"/>
              </w:rPr>
            </w:pPr>
            <w:r w:rsidRPr="00AB2D56">
              <w:rPr>
                <w:rFonts w:ascii="Arial" w:eastAsiaTheme="minorEastAsia" w:hAnsi="Arial" w:cs="Arial" w:hint="eastAsia"/>
                <w:bCs/>
                <w:sz w:val="22"/>
                <w:szCs w:val="22"/>
                <w:lang w:eastAsia="zh-CN"/>
              </w:rPr>
              <w:t>F</w:t>
            </w:r>
            <w:r w:rsidRPr="00AB2D56">
              <w:rPr>
                <w:rFonts w:ascii="Arial" w:eastAsiaTheme="minorEastAsia" w:hAnsi="Arial" w:cs="Arial"/>
                <w:bCs/>
                <w:sz w:val="22"/>
                <w:szCs w:val="22"/>
                <w:lang w:eastAsia="zh-CN"/>
              </w:rPr>
              <w:t>o</w:t>
            </w:r>
            <w:r w:rsidRPr="00AB2D56">
              <w:rPr>
                <w:rFonts w:ascii="Arial" w:eastAsiaTheme="minorEastAsia" w:hAnsi="Arial" w:cs="Arial" w:hint="eastAsia"/>
                <w:bCs/>
                <w:sz w:val="22"/>
                <w:szCs w:val="22"/>
                <w:lang w:eastAsia="zh-CN"/>
              </w:rPr>
              <w:t xml:space="preserve">r </w:t>
            </w:r>
            <w:r w:rsidRPr="00AB2D56">
              <w:rPr>
                <w:rFonts w:ascii="Arial" w:eastAsiaTheme="minorEastAsia" w:hAnsi="Arial" w:cs="Arial"/>
                <w:bCs/>
                <w:sz w:val="22"/>
                <w:szCs w:val="22"/>
                <w:lang w:eastAsia="zh-CN"/>
              </w:rPr>
              <w:t xml:space="preserve">the serving frequency, the </w:t>
            </w:r>
            <w:r w:rsidR="00355625" w:rsidRPr="00AB2D56">
              <w:rPr>
                <w:rFonts w:ascii="Arial" w:eastAsiaTheme="minorEastAsia" w:hAnsi="Arial" w:cs="Arial"/>
                <w:bCs/>
                <w:sz w:val="22"/>
                <w:szCs w:val="22"/>
                <w:lang w:eastAsia="zh-CN"/>
              </w:rPr>
              <w:t xml:space="preserve">signalling overhead </w:t>
            </w:r>
            <w:r w:rsidR="00360A5F" w:rsidRPr="00AB2D56">
              <w:rPr>
                <w:rFonts w:ascii="Arial" w:eastAsiaTheme="minorEastAsia" w:hAnsi="Arial" w:cs="Arial"/>
                <w:bCs/>
                <w:sz w:val="22"/>
                <w:szCs w:val="22"/>
                <w:lang w:eastAsia="zh-CN"/>
              </w:rPr>
              <w:t xml:space="preserve">in the UAI reporting </w:t>
            </w:r>
            <w:r w:rsidR="00355625" w:rsidRPr="00AB2D56">
              <w:rPr>
                <w:rFonts w:ascii="Arial" w:eastAsiaTheme="minorEastAsia" w:hAnsi="Arial" w:cs="Arial"/>
                <w:bCs/>
                <w:sz w:val="22"/>
                <w:szCs w:val="22"/>
                <w:lang w:eastAsia="zh-CN"/>
              </w:rPr>
              <w:t>is a bit larger then reporting BWP ID</w:t>
            </w:r>
            <w:r w:rsidR="00355625" w:rsidRPr="00AB2D56">
              <w:rPr>
                <w:rFonts w:ascii="Arial" w:eastAsiaTheme="minorEastAsia" w:hAnsi="Arial" w:cs="Arial"/>
                <w:bCs/>
                <w:sz w:val="22"/>
                <w:szCs w:val="22"/>
                <w:lang w:eastAsia="zh-CN"/>
              </w:rPr>
              <w:t xml:space="preserve">, but the granularity </w:t>
            </w:r>
            <w:r w:rsidR="000F14B1" w:rsidRPr="00AB2D56">
              <w:rPr>
                <w:rFonts w:ascii="Arial" w:eastAsiaTheme="minorEastAsia" w:hAnsi="Arial" w:cs="Arial"/>
                <w:bCs/>
                <w:sz w:val="22"/>
                <w:szCs w:val="22"/>
                <w:lang w:eastAsia="zh-CN"/>
              </w:rPr>
              <w:t>is</w:t>
            </w:r>
            <w:r w:rsidR="00355625" w:rsidRPr="00AB2D56">
              <w:rPr>
                <w:rFonts w:ascii="Arial" w:eastAsiaTheme="minorEastAsia" w:hAnsi="Arial" w:cs="Arial"/>
                <w:bCs/>
                <w:sz w:val="22"/>
                <w:szCs w:val="22"/>
                <w:lang w:eastAsia="zh-CN"/>
              </w:rPr>
              <w:t xml:space="preserve"> finer.</w:t>
            </w:r>
          </w:p>
        </w:tc>
      </w:tr>
    </w:tbl>
    <w:p w14:paraId="2A9FB7A7" w14:textId="77777777" w:rsidR="007159BE" w:rsidRDefault="007159BE">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w:t>
      </w:r>
      <w:proofErr w:type="spellStart"/>
      <w:proofErr w:type="gramStart"/>
      <w:r>
        <w:rPr>
          <w:rFonts w:ascii="Arial" w:hAnsi="Arial"/>
          <w:lang w:eastAsia="zh-CN"/>
        </w:rPr>
        <w:t>non serving</w:t>
      </w:r>
      <w:proofErr w:type="spellEnd"/>
      <w:proofErr w:type="gramEnd"/>
      <w:r>
        <w:rPr>
          <w:rFonts w:ascii="Arial" w:hAnsi="Arial"/>
          <w:lang w:eastAsia="zh-CN"/>
        </w:rPr>
        <w:t xml:space="preserve">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BWPs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This seems to be very limited in granularity i.e.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ListParagraph"/>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36AF6"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0A0B2D76"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1EE5D702" w14:textId="69DBB08D" w:rsidR="00736AF6" w:rsidRDefault="00736AF6" w:rsidP="00736AF6">
            <w:pPr>
              <w:spacing w:after="0"/>
              <w:rPr>
                <w:rFonts w:ascii="Arial" w:eastAsia="MS Mincho" w:hAnsi="Arial" w:cs="Arial"/>
                <w:bCs/>
              </w:rPr>
            </w:pPr>
            <w:r>
              <w:rPr>
                <w:rFonts w:ascii="Arial" w:eastAsia="MS Mincho" w:hAnsi="Arial" w:cs="Arial"/>
                <w:bCs/>
              </w:rPr>
              <w:t>Less signalling overhead.</w:t>
            </w:r>
          </w:p>
        </w:tc>
        <w:tc>
          <w:tcPr>
            <w:tcW w:w="4397" w:type="dxa"/>
            <w:tcBorders>
              <w:top w:val="single" w:sz="4" w:space="0" w:color="auto"/>
              <w:left w:val="single" w:sz="4" w:space="0" w:color="auto"/>
              <w:bottom w:val="single" w:sz="4" w:space="0" w:color="auto"/>
              <w:right w:val="single" w:sz="4" w:space="0" w:color="auto"/>
            </w:tcBorders>
          </w:tcPr>
          <w:p w14:paraId="72761834" w14:textId="2C110344" w:rsidR="00736AF6" w:rsidRDefault="00736AF6" w:rsidP="00736AF6">
            <w:pPr>
              <w:spacing w:after="0"/>
              <w:rPr>
                <w:rFonts w:ascii="Arial" w:eastAsia="MS Mincho" w:hAnsi="Arial" w:cs="Arial"/>
                <w:bCs/>
              </w:rPr>
            </w:pPr>
            <w:bookmarkStart w:id="2" w:name="_Hlk117623188"/>
            <w:r>
              <w:rPr>
                <w:rFonts w:ascii="Arial" w:eastAsia="MS Mincho" w:hAnsi="Arial" w:cs="Arial"/>
                <w:bCs/>
              </w:rPr>
              <w:t xml:space="preserve">The key problem is limited information / granularity. </w:t>
            </w:r>
            <w:bookmarkEnd w:id="2"/>
            <w:r>
              <w:rPr>
                <w:rFonts w:ascii="Arial" w:eastAsia="MS Mincho" w:hAnsi="Arial" w:cs="Arial"/>
                <w:bCs/>
              </w:rPr>
              <w:t>T</w:t>
            </w:r>
            <w:r w:rsidRPr="00741D8F">
              <w:rPr>
                <w:rFonts w:ascii="Arial" w:eastAsia="MS Mincho" w:hAnsi="Arial" w:cs="Arial"/>
                <w:bCs/>
              </w:rPr>
              <w:t xml:space="preserve">here can be a maximum of 4 BWPs configured per serving cell and 4 BWPs cannot provide much information regarding IDC interference. Since IDC interference is related to various factors e.g. channel conditions in both RAT as well as UE implementation, </w:t>
            </w:r>
            <w:proofErr w:type="spellStart"/>
            <w:r w:rsidRPr="00741D8F">
              <w:rPr>
                <w:rFonts w:ascii="Arial" w:eastAsia="MS Mincho" w:hAnsi="Arial" w:cs="Arial"/>
                <w:bCs/>
              </w:rPr>
              <w:t>gNB</w:t>
            </w:r>
            <w:proofErr w:type="spellEnd"/>
            <w:r w:rsidRPr="00741D8F">
              <w:rPr>
                <w:rFonts w:ascii="Arial" w:eastAsia="MS Mincho" w:hAnsi="Arial" w:cs="Arial"/>
                <w:bCs/>
              </w:rPr>
              <w:t xml:space="preserve"> might not have good knowledge to configure BWPs which are related to IDC interference.</w:t>
            </w:r>
          </w:p>
        </w:tc>
      </w:tr>
      <w:tr w:rsidR="00736AF6"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173F648F" w:rsidR="00736AF6" w:rsidRDefault="007C7453" w:rsidP="00736AF6">
            <w:pPr>
              <w:spacing w:after="0"/>
              <w:rPr>
                <w:rFonts w:ascii="Arial" w:eastAsia="MS Mincho" w:hAnsi="Arial" w:cs="Arial"/>
                <w:bCs/>
              </w:rPr>
            </w:pPr>
            <w:r w:rsidRPr="007C7453">
              <w:rPr>
                <w:rFonts w:ascii="Arial" w:eastAsia="MS Mincho" w:hAnsi="Arial" w:cs="Arial"/>
                <w:bCs/>
              </w:rPr>
              <w:t>Huawei, HiSilicon</w:t>
            </w:r>
          </w:p>
        </w:tc>
        <w:tc>
          <w:tcPr>
            <w:tcW w:w="3876" w:type="dxa"/>
            <w:tcBorders>
              <w:top w:val="single" w:sz="4" w:space="0" w:color="auto"/>
              <w:left w:val="single" w:sz="4" w:space="0" w:color="auto"/>
              <w:bottom w:val="single" w:sz="4" w:space="0" w:color="auto"/>
              <w:right w:val="single" w:sz="4" w:space="0" w:color="auto"/>
            </w:tcBorders>
          </w:tcPr>
          <w:p w14:paraId="2FB19B3F" w14:textId="096B65B9" w:rsidR="00736AF6" w:rsidRDefault="002F2C0A" w:rsidP="00736AF6">
            <w:pPr>
              <w:spacing w:after="0"/>
              <w:rPr>
                <w:rFonts w:ascii="Arial" w:eastAsia="MS Mincho" w:hAnsi="Arial" w:cs="Arial"/>
                <w:bCs/>
              </w:rPr>
            </w:pPr>
            <w:r>
              <w:rPr>
                <w:rFonts w:ascii="Arial" w:eastAsia="MS Mincho" w:hAnsi="Arial" w:cs="Arial"/>
                <w:bCs/>
              </w:rPr>
              <w:t>This ma</w:t>
            </w:r>
            <w:r w:rsidR="007C7453">
              <w:rPr>
                <w:rFonts w:ascii="Arial" w:eastAsia="MS Mincho" w:hAnsi="Arial" w:cs="Arial"/>
                <w:bCs/>
              </w:rPr>
              <w:t xml:space="preserve">y have slightly less </w:t>
            </w:r>
            <w:r w:rsidR="009E06A6">
              <w:rPr>
                <w:rFonts w:ascii="Arial" w:eastAsia="MS Mincho" w:hAnsi="Arial" w:cs="Arial"/>
                <w:bCs/>
              </w:rPr>
              <w:t xml:space="preserve">signalling </w:t>
            </w:r>
            <w:r w:rsidR="00AE7D16">
              <w:rPr>
                <w:rFonts w:ascii="Arial" w:eastAsia="MS Mincho" w:hAnsi="Arial" w:cs="Arial"/>
                <w:bCs/>
              </w:rPr>
              <w:t>while reporting the</w:t>
            </w:r>
            <w:r w:rsidR="009E06A6">
              <w:rPr>
                <w:rFonts w:ascii="Arial" w:eastAsia="MS Mincho" w:hAnsi="Arial" w:cs="Arial"/>
                <w:bCs/>
              </w:rPr>
              <w:t xml:space="preserve"> affected</w:t>
            </w:r>
            <w:r>
              <w:rPr>
                <w:rFonts w:ascii="Arial" w:eastAsia="MS Mincho" w:hAnsi="Arial" w:cs="Arial"/>
                <w:bCs/>
              </w:rPr>
              <w:t xml:space="preserve"> BWP ID from </w:t>
            </w:r>
            <w:r>
              <w:rPr>
                <w:rFonts w:ascii="Arial" w:eastAsia="MS Mincho" w:hAnsi="Arial" w:cs="Arial"/>
                <w:bCs/>
              </w:rPr>
              <w:lastRenderedPageBreak/>
              <w:t>the UE to NW</w:t>
            </w:r>
            <w:r w:rsidR="004149CF">
              <w:rPr>
                <w:rFonts w:ascii="Arial" w:eastAsia="MS Mincho" w:hAnsi="Arial" w:cs="Arial"/>
                <w:bCs/>
              </w:rPr>
              <w:t xml:space="preserve"> </w:t>
            </w:r>
            <w:r w:rsidR="00876F6F">
              <w:rPr>
                <w:rFonts w:ascii="Arial" w:eastAsia="MS Mincho" w:hAnsi="Arial" w:cs="Arial"/>
                <w:bCs/>
              </w:rPr>
              <w:t xml:space="preserve">for the serving frequency </w:t>
            </w:r>
            <w:r w:rsidR="004149CF">
              <w:rPr>
                <w:rFonts w:ascii="Arial" w:eastAsia="MS Mincho" w:hAnsi="Arial" w:cs="Arial"/>
                <w:bCs/>
              </w:rPr>
              <w:t>compared to option 1/2</w:t>
            </w:r>
            <w:r w:rsidR="009E06A6">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04DE3779" w14:textId="6FFD3F2C" w:rsidR="00360A5F" w:rsidRPr="00AB2D56" w:rsidRDefault="004149CF" w:rsidP="00360A5F">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lastRenderedPageBreak/>
              <w:t xml:space="preserve">Fixed and </w:t>
            </w:r>
            <w:r w:rsidR="007C2B10">
              <w:rPr>
                <w:rFonts w:ascii="Arial" w:eastAsia="MS Mincho" w:hAnsi="Arial" w:cs="Arial"/>
                <w:bCs/>
                <w:sz w:val="20"/>
                <w:lang w:val="en-US"/>
              </w:rPr>
              <w:t>v</w:t>
            </w:r>
            <w:r w:rsidR="007C2B10" w:rsidRPr="00AB2D56">
              <w:rPr>
                <w:rFonts w:ascii="Arial" w:eastAsia="MS Mincho" w:hAnsi="Arial" w:cs="Arial"/>
                <w:bCs/>
                <w:sz w:val="20"/>
                <w:lang w:val="en-US"/>
              </w:rPr>
              <w:t xml:space="preserve">ery </w:t>
            </w:r>
            <w:r w:rsidR="002F2C0A" w:rsidRPr="00AB2D56">
              <w:rPr>
                <w:rFonts w:ascii="Arial" w:eastAsia="MS Mincho" w:hAnsi="Arial" w:cs="Arial"/>
                <w:bCs/>
                <w:sz w:val="20"/>
                <w:lang w:val="en-US"/>
              </w:rPr>
              <w:t>limited granularity only at the BWP level.</w:t>
            </w:r>
            <w:r w:rsidR="007C2B10">
              <w:rPr>
                <w:rFonts w:ascii="Arial" w:eastAsia="MS Mincho" w:hAnsi="Arial" w:cs="Arial"/>
                <w:bCs/>
                <w:sz w:val="20"/>
                <w:lang w:val="en-US"/>
              </w:rPr>
              <w:t xml:space="preserve"> For the serving cell, if the </w:t>
            </w:r>
            <w:r w:rsidR="007C2B10">
              <w:rPr>
                <w:rFonts w:ascii="Arial" w:eastAsia="MS Mincho" w:hAnsi="Arial" w:cs="Arial"/>
                <w:bCs/>
                <w:sz w:val="20"/>
                <w:lang w:val="en-US"/>
              </w:rPr>
              <w:lastRenderedPageBreak/>
              <w:t xml:space="preserve">bandwidth of the </w:t>
            </w:r>
            <w:r w:rsidR="007C2B10">
              <w:rPr>
                <w:rFonts w:ascii="Arial" w:eastAsia="MS Mincho" w:hAnsi="Arial" w:cs="Arial"/>
                <w:bCs/>
                <w:sz w:val="20"/>
                <w:lang w:val="en-US"/>
              </w:rPr>
              <w:t xml:space="preserve">BWP </w:t>
            </w:r>
            <w:r w:rsidR="007C2B10">
              <w:rPr>
                <w:rFonts w:ascii="Arial" w:eastAsia="MS Mincho" w:hAnsi="Arial" w:cs="Arial"/>
                <w:bCs/>
                <w:sz w:val="20"/>
                <w:lang w:val="en-US"/>
              </w:rPr>
              <w:t>is large, e.g. 100M</w:t>
            </w:r>
            <w:r w:rsidR="00AB2D56">
              <w:rPr>
                <w:rFonts w:ascii="Arial" w:eastAsia="MS Mincho" w:hAnsi="Arial" w:cs="Arial"/>
                <w:bCs/>
                <w:sz w:val="20"/>
                <w:lang w:val="en-US"/>
              </w:rPr>
              <w:t>Hz</w:t>
            </w:r>
            <w:r w:rsidR="007C2B10">
              <w:rPr>
                <w:rFonts w:ascii="Arial" w:eastAsia="MS Mincho" w:hAnsi="Arial" w:cs="Arial"/>
                <w:bCs/>
                <w:sz w:val="20"/>
                <w:lang w:val="en-US"/>
              </w:rPr>
              <w:t>, the granu</w:t>
            </w:r>
            <w:r w:rsidR="007C2B10">
              <w:rPr>
                <w:rFonts w:ascii="Arial" w:eastAsia="MS Mincho" w:hAnsi="Arial" w:cs="Arial"/>
                <w:bCs/>
                <w:sz w:val="20"/>
                <w:lang w:val="en-US"/>
              </w:rPr>
              <w:t>larity is not enhanced compared with reporting only ARFCN.</w:t>
            </w:r>
          </w:p>
          <w:p w14:paraId="7FA92DF2" w14:textId="1FD1CC1D" w:rsidR="00545E46" w:rsidRPr="00AB2D56" w:rsidRDefault="00B71320" w:rsidP="00545E46">
            <w:pPr>
              <w:pStyle w:val="ListParagraph"/>
              <w:numPr>
                <w:ilvl w:val="0"/>
                <w:numId w:val="20"/>
              </w:numPr>
              <w:rPr>
                <w:rFonts w:ascii="Arial" w:eastAsia="MS Mincho" w:hAnsi="Arial" w:cs="Arial"/>
                <w:bCs/>
                <w:sz w:val="20"/>
                <w:lang w:val="en-US"/>
              </w:rPr>
            </w:pPr>
            <w:r>
              <w:rPr>
                <w:rFonts w:ascii="Arial" w:eastAsiaTheme="minorEastAsia" w:hAnsi="Arial" w:cs="Arial"/>
                <w:bCs/>
                <w:sz w:val="20"/>
                <w:lang w:val="en-US" w:eastAsia="zh-CN"/>
              </w:rPr>
              <w:t>F</w:t>
            </w:r>
            <w:r w:rsidR="00FB0E01">
              <w:rPr>
                <w:rFonts w:ascii="Arial" w:eastAsiaTheme="minorEastAsia" w:hAnsi="Arial" w:cs="Arial"/>
                <w:bCs/>
                <w:sz w:val="20"/>
                <w:lang w:val="en-US" w:eastAsia="zh-CN"/>
              </w:rPr>
              <w:t xml:space="preserve">or the </w:t>
            </w:r>
            <w:r w:rsidR="00FB0E01">
              <w:rPr>
                <w:rFonts w:ascii="Arial" w:eastAsiaTheme="minorEastAsia" w:hAnsi="Arial" w:cs="Arial"/>
                <w:bCs/>
                <w:sz w:val="20"/>
                <w:lang w:val="en-US" w:eastAsia="zh-CN"/>
              </w:rPr>
              <w:t>n</w:t>
            </w:r>
            <w:r w:rsidR="00FB0E01">
              <w:rPr>
                <w:rFonts w:ascii="Arial" w:eastAsiaTheme="minorEastAsia" w:hAnsi="Arial" w:cs="Arial"/>
                <w:bCs/>
                <w:sz w:val="20"/>
                <w:lang w:val="en-US" w:eastAsia="zh-CN"/>
              </w:rPr>
              <w:t>on-serving frequency</w:t>
            </w:r>
            <w:r>
              <w:rPr>
                <w:rFonts w:ascii="Arial" w:eastAsiaTheme="minorEastAsia" w:hAnsi="Arial" w:cs="Arial"/>
                <w:bCs/>
                <w:sz w:val="20"/>
                <w:lang w:val="en-US" w:eastAsia="zh-CN"/>
              </w:rPr>
              <w:t>,</w:t>
            </w:r>
            <w:r w:rsidR="00545E46">
              <w:rPr>
                <w:rFonts w:ascii="Arial" w:eastAsiaTheme="minorEastAsia" w:hAnsi="Arial" w:cs="Arial"/>
                <w:bCs/>
                <w:sz w:val="20"/>
                <w:lang w:val="en-US" w:eastAsia="zh-CN"/>
              </w:rPr>
              <w:t xml:space="preserve"> </w:t>
            </w:r>
            <w:r>
              <w:rPr>
                <w:rFonts w:ascii="Arial" w:eastAsiaTheme="minorEastAsia" w:hAnsi="Arial" w:cs="Arial"/>
                <w:bCs/>
                <w:sz w:val="20"/>
                <w:lang w:val="en-US" w:eastAsia="zh-CN"/>
              </w:rPr>
              <w:t xml:space="preserve">the NW needs to </w:t>
            </w:r>
            <w:r>
              <w:rPr>
                <w:rFonts w:ascii="Arial" w:eastAsiaTheme="minorEastAsia" w:hAnsi="Arial" w:cs="Arial"/>
                <w:bCs/>
                <w:sz w:val="20"/>
                <w:lang w:val="en-US" w:eastAsia="zh-CN"/>
              </w:rPr>
              <w:t>decide the v</w:t>
            </w:r>
            <w:r>
              <w:rPr>
                <w:rFonts w:ascii="Arial" w:eastAsiaTheme="minorEastAsia" w:hAnsi="Arial" w:cs="Arial"/>
                <w:bCs/>
                <w:sz w:val="20"/>
                <w:lang w:val="en-US" w:eastAsia="zh-CN"/>
              </w:rPr>
              <w:t xml:space="preserve">irtual BWP configuration for the purpose of IDC and </w:t>
            </w:r>
            <w:r w:rsidR="00545E46">
              <w:rPr>
                <w:rFonts w:ascii="Arial" w:eastAsiaTheme="minorEastAsia" w:hAnsi="Arial" w:cs="Arial"/>
                <w:bCs/>
                <w:sz w:val="20"/>
                <w:lang w:val="en-US" w:eastAsia="zh-CN"/>
              </w:rPr>
              <w:t xml:space="preserve">signal the configuration </w:t>
            </w:r>
            <w:r w:rsidR="00331E66">
              <w:rPr>
                <w:rFonts w:ascii="Arial" w:eastAsiaTheme="minorEastAsia" w:hAnsi="Arial" w:cs="Arial"/>
                <w:bCs/>
                <w:sz w:val="20"/>
                <w:lang w:val="en-US" w:eastAsia="zh-CN"/>
              </w:rPr>
              <w:t xml:space="preserve">for BWP </w:t>
            </w:r>
            <w:r w:rsidR="00545E46">
              <w:rPr>
                <w:rFonts w:ascii="Arial" w:eastAsiaTheme="minorEastAsia" w:hAnsi="Arial" w:cs="Arial"/>
                <w:bCs/>
                <w:sz w:val="20"/>
                <w:lang w:val="en-US" w:eastAsia="zh-CN"/>
              </w:rPr>
              <w:t>for</w:t>
            </w:r>
            <w:r w:rsidR="00545E46"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w:t>
            </w:r>
            <w:r w:rsidR="00545E46">
              <w:rPr>
                <w:rFonts w:ascii="Arial" w:eastAsiaTheme="minorEastAsia" w:hAnsi="Arial" w:cs="Arial"/>
                <w:bCs/>
                <w:sz w:val="20"/>
                <w:lang w:val="en-US" w:eastAsia="zh-CN"/>
              </w:rPr>
              <w:t>cells</w:t>
            </w:r>
            <w:r w:rsidR="004149CF">
              <w:rPr>
                <w:rFonts w:ascii="Arial" w:eastAsiaTheme="minorEastAsia" w:hAnsi="Arial" w:cs="Arial"/>
                <w:bCs/>
                <w:sz w:val="20"/>
                <w:lang w:val="en-US" w:eastAsia="zh-CN"/>
              </w:rPr>
              <w:t xml:space="preserve"> which will be complicated</w:t>
            </w:r>
            <w:r w:rsidR="00545E46" w:rsidRPr="00545E46">
              <w:rPr>
                <w:rFonts w:ascii="Arial" w:eastAsiaTheme="minorEastAsia" w:hAnsi="Arial" w:cs="Arial"/>
                <w:bCs/>
                <w:sz w:val="20"/>
                <w:lang w:val="en-US" w:eastAsia="zh-CN"/>
              </w:rPr>
              <w:t>.</w:t>
            </w:r>
          </w:p>
          <w:p w14:paraId="61162FAB" w14:textId="702D8DFA" w:rsidR="00360A5F" w:rsidRPr="00AB2D56" w:rsidRDefault="00360A5F" w:rsidP="00545E46">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t>If the configured BWP is changed, the UE may need to re-send the UAI to update the IDC status.</w:t>
            </w:r>
          </w:p>
          <w:p w14:paraId="4B9D9D52" w14:textId="156F7DFD" w:rsidR="00736AF6" w:rsidRDefault="00736AF6" w:rsidP="00736AF6">
            <w:pPr>
              <w:spacing w:after="0"/>
              <w:rPr>
                <w:rFonts w:ascii="Arial" w:eastAsia="MS Mincho" w:hAnsi="Arial" w:cs="Arial"/>
                <w:bCs/>
              </w:rPr>
            </w:pPr>
          </w:p>
        </w:tc>
      </w:tr>
    </w:tbl>
    <w:p w14:paraId="100A6CAB" w14:textId="77777777" w:rsidR="007159BE" w:rsidRDefault="007159BE">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ListParagraph"/>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ListParagraph"/>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Similar as option 3.</w:t>
            </w:r>
          </w:p>
        </w:tc>
      </w:tr>
      <w:tr w:rsidR="00736AF6"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6261841A" w:rsidR="00736AF6"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E8917F3" w14:textId="5215CAD0" w:rsidR="00736AF6" w:rsidRDefault="00736AF6" w:rsidP="00736AF6">
            <w:pPr>
              <w:spacing w:after="0"/>
              <w:rPr>
                <w:rFonts w:ascii="Arial" w:eastAsia="MS Mincho" w:hAnsi="Arial" w:cs="Arial"/>
                <w:bCs/>
              </w:rPr>
            </w:pPr>
            <w:r>
              <w:rPr>
                <w:rFonts w:ascii="Arial" w:eastAsia="MS Mincho" w:hAnsi="Arial" w:cs="Arial"/>
                <w:bCs/>
              </w:rPr>
              <w:t xml:space="preserve">Since </w:t>
            </w:r>
            <w:proofErr w:type="spellStart"/>
            <w:r>
              <w:rPr>
                <w:rFonts w:ascii="Arial" w:eastAsia="MS Mincho" w:hAnsi="Arial" w:cs="Arial"/>
                <w:bCs/>
              </w:rPr>
              <w:t>gNB</w:t>
            </w:r>
            <w:proofErr w:type="spellEnd"/>
            <w:r>
              <w:rPr>
                <w:rFonts w:ascii="Arial" w:eastAsia="MS Mincho" w:hAnsi="Arial" w:cs="Arial"/>
                <w:bCs/>
              </w:rPr>
              <w:t xml:space="preserve"> can only schedule in unit of PRB, this option has the best granularity.</w:t>
            </w:r>
          </w:p>
        </w:tc>
        <w:tc>
          <w:tcPr>
            <w:tcW w:w="4397" w:type="dxa"/>
            <w:tcBorders>
              <w:top w:val="single" w:sz="4" w:space="0" w:color="auto"/>
              <w:left w:val="single" w:sz="4" w:space="0" w:color="auto"/>
              <w:bottom w:val="single" w:sz="4" w:space="0" w:color="auto"/>
              <w:right w:val="single" w:sz="4" w:space="0" w:color="auto"/>
            </w:tcBorders>
          </w:tcPr>
          <w:p w14:paraId="3C687FA6" w14:textId="29126096" w:rsidR="00736AF6" w:rsidRDefault="00736AF6" w:rsidP="00736AF6">
            <w:pPr>
              <w:spacing w:after="0"/>
              <w:rPr>
                <w:rFonts w:ascii="Arial" w:eastAsia="MS Mincho" w:hAnsi="Arial" w:cs="Arial"/>
                <w:bCs/>
              </w:rPr>
            </w:pPr>
            <w:r>
              <w:rPr>
                <w:rFonts w:ascii="Arial" w:eastAsia="MS Mincho" w:hAnsi="Arial" w:cs="Arial"/>
                <w:bCs/>
              </w:rPr>
              <w:t>Potentially larger signalling overhead compared with option 3 and 6.</w:t>
            </w:r>
          </w:p>
        </w:tc>
      </w:tr>
      <w:tr w:rsidR="00736AF6"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406119B8" w:rsidR="00736AF6" w:rsidRDefault="00545E46" w:rsidP="00736AF6">
            <w:pPr>
              <w:spacing w:after="0"/>
              <w:rPr>
                <w:rFonts w:ascii="Arial" w:eastAsia="MS Mincho" w:hAnsi="Arial" w:cs="Arial"/>
                <w:bCs/>
              </w:rPr>
            </w:pPr>
            <w:r w:rsidRPr="007C7453">
              <w:rPr>
                <w:rFonts w:ascii="Arial" w:eastAsia="MS Mincho" w:hAnsi="Arial" w:cs="Arial"/>
                <w:bCs/>
              </w:rPr>
              <w:t>Huawei, HiSilicon</w:t>
            </w:r>
          </w:p>
        </w:tc>
        <w:tc>
          <w:tcPr>
            <w:tcW w:w="3876" w:type="dxa"/>
            <w:tcBorders>
              <w:top w:val="single" w:sz="4" w:space="0" w:color="auto"/>
              <w:left w:val="single" w:sz="4" w:space="0" w:color="auto"/>
              <w:bottom w:val="single" w:sz="4" w:space="0" w:color="auto"/>
              <w:right w:val="single" w:sz="4" w:space="0" w:color="auto"/>
            </w:tcBorders>
          </w:tcPr>
          <w:p w14:paraId="650E3206" w14:textId="152A5766" w:rsidR="00736AF6" w:rsidRDefault="006803BB" w:rsidP="00736AF6">
            <w:pPr>
              <w:spacing w:after="0"/>
              <w:rPr>
                <w:rFonts w:ascii="Arial" w:eastAsia="MS Mincho" w:hAnsi="Arial" w:cs="Arial"/>
                <w:bCs/>
              </w:rPr>
            </w:pPr>
            <w:r>
              <w:rPr>
                <w:rFonts w:ascii="Arial" w:eastAsia="MS Mincho" w:hAnsi="Arial" w:cs="Arial"/>
                <w:bCs/>
              </w:rPr>
              <w:t>Finer granularity of affected PRB resources</w:t>
            </w:r>
            <w:r w:rsidR="004149CF">
              <w:rPr>
                <w:rFonts w:ascii="Arial" w:eastAsia="MS Mincho" w:hAnsi="Arial" w:cs="Arial"/>
                <w:bCs/>
              </w:rPr>
              <w:t xml:space="preserve"> within BWP</w:t>
            </w:r>
          </w:p>
        </w:tc>
        <w:tc>
          <w:tcPr>
            <w:tcW w:w="4397" w:type="dxa"/>
            <w:tcBorders>
              <w:top w:val="single" w:sz="4" w:space="0" w:color="auto"/>
              <w:left w:val="single" w:sz="4" w:space="0" w:color="auto"/>
              <w:bottom w:val="single" w:sz="4" w:space="0" w:color="auto"/>
              <w:right w:val="single" w:sz="4" w:space="0" w:color="auto"/>
            </w:tcBorders>
          </w:tcPr>
          <w:p w14:paraId="75876298" w14:textId="77777777" w:rsidR="00736AF6" w:rsidRPr="006803BB" w:rsidRDefault="006803BB" w:rsidP="001B52E8">
            <w:pPr>
              <w:pStyle w:val="ListParagraph"/>
              <w:numPr>
                <w:ilvl w:val="0"/>
                <w:numId w:val="21"/>
              </w:numPr>
              <w:rPr>
                <w:rFonts w:ascii="Arial" w:eastAsia="MS Mincho" w:hAnsi="Arial" w:cs="Arial"/>
                <w:bCs/>
                <w:sz w:val="20"/>
              </w:rPr>
            </w:pPr>
            <w:r w:rsidRPr="006803BB">
              <w:rPr>
                <w:rFonts w:ascii="Arial" w:eastAsia="MS Mincho" w:hAnsi="Arial" w:cs="Arial"/>
                <w:bCs/>
                <w:sz w:val="20"/>
              </w:rPr>
              <w:t>Larger signalling overhead.</w:t>
            </w:r>
          </w:p>
          <w:p w14:paraId="47E8AE47" w14:textId="77777777" w:rsidR="001B52E8" w:rsidRPr="006C4D7C" w:rsidRDefault="001B52E8" w:rsidP="001B52E8">
            <w:pPr>
              <w:pStyle w:val="ListParagraph"/>
              <w:numPr>
                <w:ilvl w:val="0"/>
                <w:numId w:val="21"/>
              </w:numPr>
              <w:rPr>
                <w:rFonts w:ascii="Arial" w:eastAsia="MS Mincho" w:hAnsi="Arial" w:cs="Arial"/>
                <w:bCs/>
                <w:sz w:val="20"/>
                <w:lang w:val="en-US"/>
              </w:rPr>
            </w:pPr>
            <w:r>
              <w:rPr>
                <w:rFonts w:ascii="Arial" w:eastAsiaTheme="minorEastAsia" w:hAnsi="Arial" w:cs="Arial"/>
                <w:bCs/>
                <w:sz w:val="20"/>
                <w:lang w:val="en-US" w:eastAsia="zh-CN"/>
              </w:rPr>
              <w:t>For the non-serving frequency, the NW needs to decide the virtual BWP configuration for the purpose of IDC and signal the configuration for BWP for</w:t>
            </w:r>
            <w:r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frequency/cells which will be complicated</w:t>
            </w:r>
            <w:r w:rsidRPr="00545E46">
              <w:rPr>
                <w:rFonts w:ascii="Arial" w:eastAsiaTheme="minorEastAsia" w:hAnsi="Arial" w:cs="Arial"/>
                <w:bCs/>
                <w:sz w:val="20"/>
                <w:lang w:val="en-US" w:eastAsia="zh-CN"/>
              </w:rPr>
              <w:t>.</w:t>
            </w:r>
          </w:p>
          <w:p w14:paraId="6CA1F136" w14:textId="5C73BF5D" w:rsidR="006803BB" w:rsidRPr="00AB2D56" w:rsidRDefault="001B52E8" w:rsidP="001B52E8">
            <w:pPr>
              <w:pStyle w:val="ListParagraph"/>
              <w:numPr>
                <w:ilvl w:val="0"/>
                <w:numId w:val="21"/>
              </w:numPr>
              <w:rPr>
                <w:rFonts w:ascii="Arial" w:eastAsia="MS Mincho" w:hAnsi="Arial" w:cs="Arial"/>
                <w:bCs/>
                <w:lang w:val="en-US"/>
              </w:rPr>
            </w:pPr>
            <w:r>
              <w:rPr>
                <w:rFonts w:ascii="Arial" w:eastAsia="MS Mincho" w:hAnsi="Arial" w:cs="Arial"/>
                <w:bCs/>
                <w:sz w:val="20"/>
                <w:lang w:val="en-US"/>
              </w:rPr>
              <w:t>If the configured BWP is changed, the UE may need to re-send the UAI to update the IDC status.</w:t>
            </w:r>
          </w:p>
        </w:tc>
      </w:tr>
    </w:tbl>
    <w:p w14:paraId="37DDB174" w14:textId="77777777" w:rsidR="007159BE" w:rsidRDefault="007159BE">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lastRenderedPageBreak/>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needed but we do not </w:t>
            </w:r>
            <w:proofErr w:type="gramStart"/>
            <w:r>
              <w:rPr>
                <w:rFonts w:ascii="Arial" w:eastAsia="MS Mincho" w:hAnsi="Arial" w:cs="Arial"/>
                <w:bCs/>
              </w:rPr>
              <w:t>expects</w:t>
            </w:r>
            <w:proofErr w:type="gramEnd"/>
            <w:r>
              <w:rPr>
                <w:rFonts w:ascii="Arial" w:eastAsia="MS Mincho" w:hAnsi="Arial" w:cs="Arial"/>
                <w:bCs/>
              </w:rPr>
              <w:t xml:space="preserve">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 xml:space="preserve">Depends on the resource allocation type. </w:t>
            </w:r>
            <w:proofErr w:type="gramStart"/>
            <w:r>
              <w:rPr>
                <w:rFonts w:ascii="Arial" w:eastAsia="MS Mincho" w:hAnsi="Arial" w:cs="Arial"/>
                <w:bCs/>
              </w:rPr>
              <w:t>Also</w:t>
            </w:r>
            <w:proofErr w:type="gramEnd"/>
            <w:r>
              <w:rPr>
                <w:rFonts w:ascii="Arial" w:eastAsia="MS Mincho" w:hAnsi="Arial" w:cs="Arial"/>
                <w:bCs/>
              </w:rPr>
              <w:t xml:space="preserve">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010059">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36AF6"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3A69523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93C9B5F" w14:textId="7582DD71" w:rsidR="00736AF6" w:rsidRDefault="00736AF6" w:rsidP="00736AF6">
            <w:pPr>
              <w:spacing w:after="0"/>
              <w:rPr>
                <w:rFonts w:ascii="Arial" w:eastAsia="MS Mincho" w:hAnsi="Arial" w:cs="Arial"/>
                <w:bCs/>
              </w:rPr>
            </w:pPr>
            <w:r w:rsidRPr="00F605BA">
              <w:rPr>
                <w:rFonts w:ascii="Arial" w:eastAsia="MS Mincho" w:hAnsi="Arial" w:cs="Arial"/>
                <w:bCs/>
              </w:rPr>
              <w:t>RBG has the benefit of le</w:t>
            </w:r>
            <w:r>
              <w:rPr>
                <w:rFonts w:ascii="Arial" w:eastAsia="MS Mincho" w:hAnsi="Arial" w:cs="Arial"/>
                <w:bCs/>
              </w:rPr>
              <w:t>ast</w:t>
            </w:r>
            <w:r w:rsidRPr="00F605BA">
              <w:rPr>
                <w:rFonts w:ascii="Arial" w:eastAsia="MS Mincho" w:hAnsi="Arial" w:cs="Arial"/>
                <w:bCs/>
              </w:rPr>
              <w:t xml:space="preserve"> </w:t>
            </w:r>
            <w:proofErr w:type="spellStart"/>
            <w:r w:rsidRPr="00F605BA">
              <w:rPr>
                <w:rFonts w:ascii="Arial" w:eastAsia="MS Mincho" w:hAnsi="Arial" w:cs="Arial"/>
                <w:bCs/>
              </w:rPr>
              <w:t>signaling</w:t>
            </w:r>
            <w:proofErr w:type="spellEnd"/>
            <w:r w:rsidRPr="00F605BA">
              <w:rPr>
                <w:rFonts w:ascii="Arial" w:eastAsia="MS Mincho" w:hAnsi="Arial" w:cs="Arial"/>
                <w:bCs/>
              </w:rPr>
              <w:t xml:space="preserve"> overhead, and is also flexible in size since there are 2 configurations</w:t>
            </w:r>
            <w:r>
              <w:rPr>
                <w:rFonts w:ascii="Arial" w:eastAsia="MS Mincho" w:hAnsi="Arial" w:cs="Arial"/>
                <w:bCs/>
              </w:rPr>
              <w:t xml:space="preserve"> of RBG size.</w:t>
            </w:r>
          </w:p>
        </w:tc>
        <w:tc>
          <w:tcPr>
            <w:tcW w:w="4397" w:type="dxa"/>
            <w:tcBorders>
              <w:top w:val="single" w:sz="4" w:space="0" w:color="auto"/>
              <w:left w:val="single" w:sz="4" w:space="0" w:color="auto"/>
              <w:bottom w:val="single" w:sz="4" w:space="0" w:color="auto"/>
              <w:right w:val="single" w:sz="4" w:space="0" w:color="auto"/>
            </w:tcBorders>
          </w:tcPr>
          <w:p w14:paraId="3876285E" w14:textId="77777777" w:rsidR="00736AF6" w:rsidRDefault="00736AF6" w:rsidP="00736AF6">
            <w:pPr>
              <w:spacing w:after="0"/>
              <w:rPr>
                <w:rFonts w:ascii="Arial" w:eastAsia="MS Mincho" w:hAnsi="Arial" w:cs="Arial"/>
                <w:bCs/>
              </w:rPr>
            </w:pPr>
            <w:r>
              <w:rPr>
                <w:rFonts w:ascii="Arial" w:eastAsia="MS Mincho" w:hAnsi="Arial" w:cs="Arial"/>
                <w:bCs/>
              </w:rPr>
              <w:t>Granularity is not as fine as option 4, but there is always trade-off between granularity and signalling overhead.</w:t>
            </w:r>
          </w:p>
          <w:p w14:paraId="27F782C7" w14:textId="77777777" w:rsidR="00736AF6" w:rsidRDefault="00736AF6" w:rsidP="00736AF6">
            <w:pPr>
              <w:spacing w:after="0"/>
              <w:rPr>
                <w:rFonts w:ascii="Arial" w:eastAsia="MS Mincho" w:hAnsi="Arial" w:cs="Arial"/>
                <w:bCs/>
              </w:rPr>
            </w:pPr>
          </w:p>
          <w:p w14:paraId="5D60E3F5" w14:textId="77777777" w:rsidR="00736AF6" w:rsidRDefault="00736AF6" w:rsidP="00736AF6">
            <w:pPr>
              <w:spacing w:after="0"/>
              <w:rPr>
                <w:rFonts w:ascii="Arial" w:eastAsia="MS Mincho" w:hAnsi="Arial" w:cs="Arial"/>
                <w:bCs/>
              </w:rPr>
            </w:pPr>
            <w:r>
              <w:rPr>
                <w:rFonts w:ascii="Arial" w:eastAsia="MS Mincho" w:hAnsi="Arial" w:cs="Arial"/>
                <w:bCs/>
              </w:rPr>
              <w:t xml:space="preserve">For non-serving frequencies, some additional information can be provided or UE </w:t>
            </w:r>
            <w:r w:rsidRPr="00665D46">
              <w:rPr>
                <w:rFonts w:ascii="Arial" w:eastAsia="MS Mincho" w:hAnsi="Arial" w:cs="Arial"/>
                <w:bCs/>
              </w:rPr>
              <w:t>indicates the affected frequency resources based on fixed assumption</w:t>
            </w:r>
            <w:r>
              <w:rPr>
                <w:rFonts w:ascii="Arial" w:eastAsia="MS Mincho" w:hAnsi="Arial" w:cs="Arial"/>
                <w:bCs/>
              </w:rPr>
              <w:t xml:space="preserve"> (</w:t>
            </w:r>
            <w:r w:rsidRPr="003C363A">
              <w:rPr>
                <w:rFonts w:ascii="Arial" w:eastAsia="MS Mincho" w:hAnsi="Arial" w:cs="Arial"/>
                <w:bCs/>
              </w:rPr>
              <w:t xml:space="preserve">e.g. the BWP covers all PRBs, and </w:t>
            </w:r>
            <w:r w:rsidRPr="38BDEC1D">
              <w:rPr>
                <w:rFonts w:ascii="Arial" w:eastAsia="MS Mincho" w:hAnsi="Arial" w:cs="Arial"/>
              </w:rPr>
              <w:t xml:space="preserve">RBG </w:t>
            </w:r>
            <w:r w:rsidRPr="003C363A">
              <w:rPr>
                <w:rFonts w:ascii="Arial" w:eastAsia="MS Mincho" w:hAnsi="Arial" w:cs="Arial"/>
                <w:bCs/>
              </w:rPr>
              <w:t>configuration 2 is used for RBG size)</w:t>
            </w:r>
            <w:r>
              <w:rPr>
                <w:rFonts w:ascii="Arial" w:eastAsia="MS Mincho" w:hAnsi="Arial" w:cs="Arial"/>
                <w:bCs/>
              </w:rPr>
              <w:t>.</w:t>
            </w:r>
          </w:p>
          <w:p w14:paraId="75213BD6" w14:textId="77777777" w:rsidR="00736AF6" w:rsidRDefault="00736AF6" w:rsidP="00736AF6">
            <w:pPr>
              <w:spacing w:after="0"/>
              <w:rPr>
                <w:rFonts w:ascii="Arial" w:eastAsia="MS Mincho" w:hAnsi="Arial" w:cs="Arial"/>
                <w:bCs/>
              </w:rPr>
            </w:pPr>
          </w:p>
        </w:tc>
      </w:tr>
      <w:tr w:rsidR="00736AF6"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4D21215F" w:rsidR="00736AF6" w:rsidRDefault="006803BB" w:rsidP="00736AF6">
            <w:pPr>
              <w:spacing w:after="0"/>
              <w:rPr>
                <w:rFonts w:ascii="Arial" w:eastAsia="MS Mincho" w:hAnsi="Arial" w:cs="Arial"/>
                <w:bCs/>
              </w:rPr>
            </w:pPr>
            <w:r w:rsidRPr="007C7453">
              <w:rPr>
                <w:rFonts w:ascii="Arial" w:eastAsia="MS Mincho" w:hAnsi="Arial" w:cs="Arial"/>
                <w:bCs/>
              </w:rPr>
              <w:t>Huawei, HiSilicon</w:t>
            </w:r>
          </w:p>
        </w:tc>
        <w:tc>
          <w:tcPr>
            <w:tcW w:w="3876" w:type="dxa"/>
            <w:tcBorders>
              <w:top w:val="single" w:sz="4" w:space="0" w:color="auto"/>
              <w:left w:val="single" w:sz="4" w:space="0" w:color="auto"/>
              <w:bottom w:val="single" w:sz="4" w:space="0" w:color="auto"/>
              <w:right w:val="single" w:sz="4" w:space="0" w:color="auto"/>
            </w:tcBorders>
          </w:tcPr>
          <w:p w14:paraId="550AF606" w14:textId="72198CED" w:rsidR="00736AF6" w:rsidRDefault="006803BB" w:rsidP="00736AF6">
            <w:pPr>
              <w:spacing w:after="0"/>
              <w:rPr>
                <w:rFonts w:ascii="Arial" w:eastAsia="MS Mincho" w:hAnsi="Arial" w:cs="Arial"/>
                <w:bCs/>
              </w:rPr>
            </w:pPr>
            <w:r>
              <w:rPr>
                <w:rFonts w:ascii="Arial" w:eastAsia="MS Mincho" w:hAnsi="Arial" w:cs="Arial"/>
                <w:bCs/>
              </w:rPr>
              <w:t>Finer granularity compared to option 3</w:t>
            </w:r>
            <w:r w:rsidR="00F758B2">
              <w:rPr>
                <w:rFonts w:ascii="Arial" w:eastAsia="MS Mincho" w:hAnsi="Arial" w:cs="Arial"/>
                <w:bCs/>
              </w:rPr>
              <w:t xml:space="preserve"> and less signalling overhead compared to option 4</w:t>
            </w:r>
          </w:p>
        </w:tc>
        <w:tc>
          <w:tcPr>
            <w:tcW w:w="4397" w:type="dxa"/>
            <w:tcBorders>
              <w:top w:val="single" w:sz="4" w:space="0" w:color="auto"/>
              <w:left w:val="single" w:sz="4" w:space="0" w:color="auto"/>
              <w:bottom w:val="single" w:sz="4" w:space="0" w:color="auto"/>
              <w:right w:val="single" w:sz="4" w:space="0" w:color="auto"/>
            </w:tcBorders>
          </w:tcPr>
          <w:p w14:paraId="208D30C1" w14:textId="10C47C28" w:rsidR="00736AF6" w:rsidRPr="00693A70" w:rsidRDefault="00693A70" w:rsidP="00736AF6">
            <w:pPr>
              <w:spacing w:after="0"/>
              <w:rPr>
                <w:rFonts w:ascii="Arial" w:eastAsia="MS Mincho" w:hAnsi="Arial" w:cs="Arial"/>
                <w:b/>
                <w:bCs/>
              </w:rPr>
            </w:pPr>
            <w:r>
              <w:rPr>
                <w:rFonts w:ascii="Arial" w:eastAsia="MS Mincho" w:hAnsi="Arial" w:cs="Arial"/>
                <w:bCs/>
              </w:rPr>
              <w:t xml:space="preserve">How it can be applied to </w:t>
            </w:r>
            <w:r w:rsidRPr="00717510">
              <w:rPr>
                <w:rFonts w:ascii="Arial" w:eastAsia="MS Mincho" w:hAnsi="Arial" w:cs="Arial"/>
                <w:bCs/>
              </w:rPr>
              <w:t>non-serving frequency is unclear</w:t>
            </w:r>
            <w:r>
              <w:rPr>
                <w:rFonts w:ascii="Arial" w:eastAsia="MS Mincho" w:hAnsi="Arial" w:cs="Arial"/>
                <w:bCs/>
              </w:rPr>
              <w:t>.</w:t>
            </w:r>
          </w:p>
        </w:tc>
      </w:tr>
    </w:tbl>
    <w:p w14:paraId="43493877" w14:textId="77777777" w:rsidR="007159BE" w:rsidRDefault="007159BE">
      <w:pPr>
        <w:rPr>
          <w:rFonts w:ascii="Arial" w:hAnsi="Arial"/>
          <w:lang w:eastAsia="zh-CN"/>
        </w:rPr>
      </w:pPr>
    </w:p>
    <w:p w14:paraId="6B080C63" w14:textId="77777777" w:rsidR="007159BE" w:rsidRDefault="007159BE">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Heading1"/>
      </w:pPr>
      <w:r>
        <w:lastRenderedPageBreak/>
        <w:t>3</w:t>
      </w:r>
      <w:r>
        <w:tab/>
        <w:t>Conclusion</w:t>
      </w:r>
    </w:p>
    <w:p w14:paraId="3CAE491C" w14:textId="77777777" w:rsidR="007159BE" w:rsidRDefault="007D3121">
      <w:pPr>
        <w:pStyle w:val="BodyText"/>
        <w:rPr>
          <w:b/>
          <w:bCs/>
        </w:rPr>
      </w:pPr>
      <w:r>
        <w:t>In the previous sections we made the following observations:</w:t>
      </w:r>
      <w:r>
        <w:rPr>
          <w:b/>
          <w:bCs/>
        </w:rPr>
        <w:t xml:space="preserve"> </w:t>
      </w:r>
    </w:p>
    <w:p w14:paraId="05377E0F"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Hyperlink"/>
          </w:rPr>
          <w:t>Observation 1</w:t>
        </w:r>
        <w:r>
          <w:rPr>
            <w:rFonts w:ascii="Calibri" w:hAnsi="Calibri"/>
            <w:b w:val="0"/>
            <w:sz w:val="22"/>
            <w:szCs w:val="22"/>
            <w:lang w:eastAsia="en-GB"/>
          </w:rPr>
          <w:tab/>
        </w:r>
        <w:r>
          <w:rPr>
            <w:rStyle w:val="Hyperlink"/>
          </w:rPr>
          <w:t>An Observation with automatic numbering. Assign this type by pressing Alt-O. A list of all Observations can be found in the Conclusion section.</w:t>
        </w:r>
      </w:hyperlink>
    </w:p>
    <w:p w14:paraId="3CEBB27B" w14:textId="77777777" w:rsidR="007159BE" w:rsidRDefault="007D3121">
      <w:pPr>
        <w:pStyle w:val="BodyText"/>
        <w:rPr>
          <w:b/>
          <w:bCs/>
        </w:rPr>
      </w:pPr>
      <w:r>
        <w:rPr>
          <w:b/>
          <w:bCs/>
        </w:rPr>
        <w:fldChar w:fldCharType="end"/>
      </w:r>
    </w:p>
    <w:p w14:paraId="392AF8E4" w14:textId="77777777" w:rsidR="007159BE" w:rsidRDefault="007159BE">
      <w:pPr>
        <w:pStyle w:val="BodyText"/>
        <w:rPr>
          <w:b/>
          <w:bCs/>
        </w:rPr>
      </w:pPr>
    </w:p>
    <w:p w14:paraId="409B255C" w14:textId="77777777" w:rsidR="007159BE" w:rsidRDefault="007D3121">
      <w:pPr>
        <w:pStyle w:val="BodyText"/>
      </w:pPr>
      <w:r>
        <w:t>Based on the discussion in the previous sections we propose the following:</w:t>
      </w:r>
    </w:p>
    <w:p w14:paraId="1AF50ECB"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46454974" w14:textId="77777777" w:rsidR="007159BE" w:rsidRDefault="007D3121">
      <w:pPr>
        <w:pStyle w:val="BodyText"/>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Heading1"/>
      </w:pPr>
      <w:bookmarkStart w:id="3" w:name="_In-sequence_SDU_delivery"/>
      <w:bookmarkEnd w:id="3"/>
      <w:r>
        <w:t>4.</w:t>
      </w:r>
      <w:r>
        <w:tab/>
        <w:t>References</w:t>
      </w:r>
    </w:p>
    <w:p w14:paraId="54F15F7B" w14:textId="77777777" w:rsidR="007159BE" w:rsidRDefault="0081640C">
      <w:pPr>
        <w:pStyle w:val="Reference"/>
      </w:pPr>
      <w:hyperlink r:id="rId17" w:history="1">
        <w:r w:rsidR="007D3121">
          <w:rPr>
            <w:rStyle w:val="Hyperlink"/>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81640C">
      <w:pPr>
        <w:pStyle w:val="Reference"/>
        <w:rPr>
          <w:lang w:val="en-US" w:eastAsia="en-GB"/>
        </w:rPr>
      </w:pPr>
      <w:hyperlink r:id="rId18" w:history="1">
        <w:r w:rsidR="007D3121">
          <w:rPr>
            <w:rStyle w:val="Hyperlink"/>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81640C">
      <w:pPr>
        <w:pStyle w:val="Reference"/>
      </w:pPr>
      <w:hyperlink r:id="rId19" w:history="1">
        <w:r w:rsidR="007D3121">
          <w:rPr>
            <w:rStyle w:val="Hyperlink"/>
          </w:rPr>
          <w:t>R2-2207539</w:t>
        </w:r>
      </w:hyperlink>
      <w:r w:rsidR="007D3121">
        <w:tab/>
        <w:t>Discussion on FDM solution enhancements</w:t>
      </w:r>
      <w:r w:rsidR="007D3121">
        <w:tab/>
        <w:t>Sharp</w:t>
      </w:r>
      <w:r w:rsidR="007D3121">
        <w:tab/>
      </w:r>
    </w:p>
    <w:p w14:paraId="012F9BF6" w14:textId="77777777" w:rsidR="007159BE" w:rsidRDefault="0081640C">
      <w:pPr>
        <w:pStyle w:val="Reference"/>
      </w:pPr>
      <w:hyperlink r:id="rId20" w:history="1">
        <w:r w:rsidR="007D3121">
          <w:rPr>
            <w:rStyle w:val="Hyperlink"/>
          </w:rPr>
          <w:t>R2-2207556</w:t>
        </w:r>
      </w:hyperlink>
      <w:r w:rsidR="007D3121">
        <w:tab/>
        <w:t>Assistance information for FDM</w:t>
      </w:r>
      <w:r w:rsidR="007D3121">
        <w:tab/>
        <w:t>Nokia, Nokia Shanghai Bell</w:t>
      </w:r>
    </w:p>
    <w:p w14:paraId="1A7ED2A8" w14:textId="77777777" w:rsidR="007159BE" w:rsidRDefault="0081640C">
      <w:pPr>
        <w:pStyle w:val="Reference"/>
      </w:pPr>
      <w:hyperlink r:id="rId21" w:history="1">
        <w:r w:rsidR="007D3121">
          <w:rPr>
            <w:rStyle w:val="Hyperlink"/>
          </w:rPr>
          <w:t>R2-2207804</w:t>
        </w:r>
      </w:hyperlink>
      <w:r w:rsidR="007D3121">
        <w:tab/>
        <w:t>Discussion on the IDC FDM solutions</w:t>
      </w:r>
      <w:r w:rsidR="007D3121">
        <w:tab/>
        <w:t>Xiaomi</w:t>
      </w:r>
    </w:p>
    <w:p w14:paraId="0E6449E8" w14:textId="77777777" w:rsidR="007159BE" w:rsidRDefault="0081640C">
      <w:pPr>
        <w:pStyle w:val="Reference"/>
      </w:pPr>
      <w:hyperlink r:id="rId22" w:history="1">
        <w:r w:rsidR="007D3121">
          <w:rPr>
            <w:rStyle w:val="Hyperlink"/>
          </w:rPr>
          <w:t>R2-2207844</w:t>
        </w:r>
      </w:hyperlink>
      <w:r w:rsidR="007D3121">
        <w:tab/>
        <w:t>Discussion on FDM solution for in-device co-existence interference avoidance</w:t>
      </w:r>
      <w:r w:rsidR="007D3121">
        <w:tab/>
        <w:t>Samsung</w:t>
      </w:r>
    </w:p>
    <w:p w14:paraId="38740437" w14:textId="77777777" w:rsidR="007159BE" w:rsidRDefault="0081640C">
      <w:pPr>
        <w:pStyle w:val="Reference"/>
      </w:pPr>
      <w:hyperlink r:id="rId23" w:history="1">
        <w:r w:rsidR="007D3121">
          <w:rPr>
            <w:rStyle w:val="Hyperlink"/>
          </w:rPr>
          <w:t>R2-2207936</w:t>
        </w:r>
      </w:hyperlink>
      <w:r w:rsidR="007D3121">
        <w:tab/>
        <w:t>Discussion on FDM solution in IDC</w:t>
      </w:r>
      <w:r w:rsidR="007D3121">
        <w:tab/>
        <w:t>Apple</w:t>
      </w:r>
      <w:r w:rsidR="007D3121">
        <w:tab/>
      </w:r>
    </w:p>
    <w:p w14:paraId="55D27348" w14:textId="77777777" w:rsidR="007159BE" w:rsidRDefault="0081640C">
      <w:pPr>
        <w:pStyle w:val="Reference"/>
      </w:pPr>
      <w:hyperlink r:id="rId24" w:history="1">
        <w:r w:rsidR="007D3121">
          <w:rPr>
            <w:rStyle w:val="Hyperlink"/>
          </w:rPr>
          <w:t>R2-2207968</w:t>
        </w:r>
      </w:hyperlink>
      <w:r w:rsidR="007D3121">
        <w:tab/>
        <w:t>Enhanced FDM solution for IDC</w:t>
      </w:r>
      <w:r w:rsidR="007D3121">
        <w:tab/>
        <w:t xml:space="preserve"> Intel Corporation</w:t>
      </w:r>
    </w:p>
    <w:p w14:paraId="059D6348" w14:textId="77777777" w:rsidR="007159BE" w:rsidRDefault="0081640C">
      <w:pPr>
        <w:pStyle w:val="Reference"/>
      </w:pPr>
      <w:hyperlink r:id="rId25" w:history="1">
        <w:r w:rsidR="007D3121">
          <w:rPr>
            <w:rStyle w:val="Hyperlink"/>
          </w:rPr>
          <w:t>R2-2208116</w:t>
        </w:r>
      </w:hyperlink>
      <w:r w:rsidR="007D3121">
        <w:tab/>
        <w:t>FDM Solutions in IDC</w:t>
      </w:r>
      <w:r w:rsidR="007D3121">
        <w:tab/>
        <w:t>Qualcomm Incorporated</w:t>
      </w:r>
      <w:r w:rsidR="007D3121">
        <w:tab/>
      </w:r>
    </w:p>
    <w:p w14:paraId="01F677A2" w14:textId="77777777" w:rsidR="007159BE" w:rsidRDefault="0081640C">
      <w:pPr>
        <w:pStyle w:val="Reference"/>
      </w:pPr>
      <w:hyperlink r:id="rId26" w:history="1">
        <w:r w:rsidR="007D3121">
          <w:rPr>
            <w:rStyle w:val="Hyperlink"/>
          </w:rPr>
          <w:t>R2-2208135</w:t>
        </w:r>
      </w:hyperlink>
      <w:r w:rsidR="007D3121">
        <w:tab/>
        <w:t>FDM solution for IDC</w:t>
      </w:r>
      <w:r w:rsidR="007D3121">
        <w:tab/>
        <w:t>Ericsson</w:t>
      </w:r>
    </w:p>
    <w:p w14:paraId="67583759" w14:textId="77777777" w:rsidR="007159BE" w:rsidRDefault="0081640C">
      <w:pPr>
        <w:pStyle w:val="Reference"/>
        <w:rPr>
          <w:rFonts w:eastAsia="MS Mincho"/>
          <w:szCs w:val="24"/>
          <w:lang w:eastAsia="en-GB"/>
        </w:rPr>
      </w:pPr>
      <w:hyperlink r:id="rId27" w:history="1">
        <w:r w:rsidR="007D3121">
          <w:rPr>
            <w:rStyle w:val="Hyperlink"/>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Huawei, HiSilicon</w:t>
      </w:r>
      <w:r w:rsidR="007D3121">
        <w:rPr>
          <w:rFonts w:eastAsia="MS Mincho"/>
          <w:szCs w:val="24"/>
          <w:lang w:eastAsia="en-GB"/>
        </w:rPr>
        <w:tab/>
      </w:r>
    </w:p>
    <w:p w14:paraId="3E5045B3" w14:textId="77777777" w:rsidR="007159BE" w:rsidRDefault="0081640C">
      <w:pPr>
        <w:pStyle w:val="Reference"/>
        <w:rPr>
          <w:rFonts w:eastAsia="MS Mincho"/>
          <w:szCs w:val="24"/>
          <w:lang w:eastAsia="en-GB"/>
        </w:rPr>
      </w:pPr>
      <w:hyperlink r:id="rId28" w:history="1">
        <w:r w:rsidR="007D3121">
          <w:rPr>
            <w:rStyle w:val="Hyperlink"/>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81640C">
      <w:pPr>
        <w:pStyle w:val="Reference"/>
        <w:rPr>
          <w:rFonts w:eastAsia="MS Mincho"/>
          <w:szCs w:val="24"/>
          <w:lang w:eastAsia="en-GB"/>
        </w:rPr>
      </w:pPr>
      <w:hyperlink r:id="rId29" w:history="1">
        <w:r w:rsidR="007D3121">
          <w:rPr>
            <w:rStyle w:val="Hyperlink"/>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81640C">
      <w:pPr>
        <w:pStyle w:val="Reference"/>
        <w:rPr>
          <w:rFonts w:eastAsia="MS Mincho"/>
          <w:szCs w:val="24"/>
          <w:lang w:val="en-US" w:eastAsia="en-GB"/>
        </w:rPr>
      </w:pPr>
      <w:hyperlink r:id="rId30" w:history="1">
        <w:r w:rsidR="007D3121">
          <w:rPr>
            <w:rStyle w:val="Hyperlink"/>
          </w:rPr>
          <w:t>R2-2207161</w:t>
        </w:r>
      </w:hyperlink>
      <w:r w:rsidR="007D3121">
        <w:tab/>
        <w:t>Clarification on the IDC scope</w:t>
      </w:r>
      <w:r w:rsidR="007D3121">
        <w:tab/>
        <w:t xml:space="preserve">ZTE Corporation, </w:t>
      </w:r>
      <w:proofErr w:type="spellStart"/>
      <w:r w:rsidR="007D3121">
        <w:t>Sanechips</w:t>
      </w:r>
      <w:proofErr w:type="spellEnd"/>
    </w:p>
    <w:bookmarkStart w:id="4"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Hyperlink"/>
          <w:rFonts w:eastAsia="MS Mincho"/>
          <w:szCs w:val="24"/>
          <w:lang w:eastAsia="en-GB"/>
        </w:rPr>
        <w:t>R2-2208951</w:t>
      </w:r>
      <w:r>
        <w:rPr>
          <w:rFonts w:eastAsia="MS Mincho"/>
          <w:szCs w:val="24"/>
          <w:lang w:eastAsia="en-GB"/>
        </w:rPr>
        <w:fldChar w:fldCharType="end"/>
      </w:r>
      <w:r>
        <w:rPr>
          <w:rFonts w:eastAsia="MS Mincho"/>
          <w:szCs w:val="24"/>
          <w:lang w:eastAsia="en-GB"/>
        </w:rPr>
        <w:tab/>
        <w:t>[AT119-e][651][IDC] FDM solution enhancements (Huawei)</w:t>
      </w:r>
      <w:r>
        <w:rPr>
          <w:rFonts w:eastAsia="MS Mincho"/>
          <w:szCs w:val="24"/>
          <w:lang w:eastAsia="en-GB"/>
        </w:rPr>
        <w:tab/>
        <w:t>Huawei, HiSilicon</w:t>
      </w:r>
      <w:bookmarkEnd w:id="4"/>
    </w:p>
    <w:p w14:paraId="7B94407D" w14:textId="77777777" w:rsidR="007159BE" w:rsidRDefault="007159BE">
      <w:pPr>
        <w:pStyle w:val="BodyText"/>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8C72" w14:textId="77777777" w:rsidR="00651787" w:rsidRDefault="00651787">
      <w:pPr>
        <w:spacing w:after="0"/>
      </w:pPr>
      <w:r>
        <w:separator/>
      </w:r>
    </w:p>
  </w:endnote>
  <w:endnote w:type="continuationSeparator" w:id="0">
    <w:p w14:paraId="0FA63A93" w14:textId="77777777" w:rsidR="00651787" w:rsidRDefault="00651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AFF2" w14:textId="7AEF0DD2" w:rsidR="0081640C" w:rsidRDefault="008164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D5D4" w14:textId="77777777" w:rsidR="00651787" w:rsidRDefault="00651787">
      <w:pPr>
        <w:spacing w:after="0"/>
      </w:pPr>
      <w:r>
        <w:separator/>
      </w:r>
    </w:p>
  </w:footnote>
  <w:footnote w:type="continuationSeparator" w:id="0">
    <w:p w14:paraId="3B7C8BB8" w14:textId="77777777" w:rsidR="00651787" w:rsidRDefault="00651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5A9D" w14:textId="77777777" w:rsidR="0081640C" w:rsidRDefault="008164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847AB5"/>
    <w:multiLevelType w:val="hybridMultilevel"/>
    <w:tmpl w:val="92381A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5975DF"/>
    <w:multiLevelType w:val="singleLevel"/>
    <w:tmpl w:val="245975DF"/>
    <w:lvl w:ilvl="0">
      <w:start w:val="1"/>
      <w:numFmt w:val="decimal"/>
      <w:suff w:val="space"/>
      <w:lvlText w:val="(%1)"/>
      <w:lvlJc w:val="left"/>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F8EBAC"/>
    <w:multiLevelType w:val="singleLevel"/>
    <w:tmpl w:val="34F8EBAC"/>
    <w:lvl w:ilvl="0">
      <w:start w:val="1"/>
      <w:numFmt w:val="decimal"/>
      <w:suff w:val="space"/>
      <w:lvlText w:val="(%1)"/>
      <w:lvlJc w:val="left"/>
    </w:lvl>
  </w:abstractNum>
  <w:abstractNum w:abstractNumId="9"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C8F322E"/>
    <w:multiLevelType w:val="hybridMultilevel"/>
    <w:tmpl w:val="B4EA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604C3"/>
    <w:multiLevelType w:val="hybridMultilevel"/>
    <w:tmpl w:val="9F423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5C71FF7"/>
    <w:multiLevelType w:val="hybridMultilevel"/>
    <w:tmpl w:val="DFBE3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7"/>
  </w:num>
  <w:num w:numId="3">
    <w:abstractNumId w:val="2"/>
  </w:num>
  <w:num w:numId="4">
    <w:abstractNumId w:val="6"/>
  </w:num>
  <w:num w:numId="5">
    <w:abstractNumId w:val="4"/>
  </w:num>
  <w:num w:numId="6">
    <w:abstractNumId w:val="14"/>
  </w:num>
  <w:num w:numId="7">
    <w:abstractNumId w:val="0"/>
  </w:num>
  <w:num w:numId="8">
    <w:abstractNumId w:val="18"/>
  </w:num>
  <w:num w:numId="9">
    <w:abstractNumId w:val="11"/>
  </w:num>
  <w:num w:numId="10">
    <w:abstractNumId w:val="10"/>
  </w:num>
  <w:num w:numId="11">
    <w:abstractNumId w:val="12"/>
  </w:num>
  <w:num w:numId="12">
    <w:abstractNumId w:val="13"/>
  </w:num>
  <w:num w:numId="13">
    <w:abstractNumId w:val="20"/>
  </w:num>
  <w:num w:numId="14">
    <w:abstractNumId w:val="8"/>
  </w:num>
  <w:num w:numId="15">
    <w:abstractNumId w:val="9"/>
  </w:num>
  <w:num w:numId="16">
    <w:abstractNumId w:val="5"/>
  </w:num>
  <w:num w:numId="17">
    <w:abstractNumId w:val="3"/>
  </w:num>
  <w:num w:numId="18">
    <w:abstractNumId w:val="15"/>
  </w:num>
  <w:num w:numId="19">
    <w:abstractNumId w:val="1"/>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CA4"/>
    <w:rsid w:val="00002E3F"/>
    <w:rsid w:val="0000564C"/>
    <w:rsid w:val="00006446"/>
    <w:rsid w:val="00006896"/>
    <w:rsid w:val="00007CDC"/>
    <w:rsid w:val="00010059"/>
    <w:rsid w:val="00011B28"/>
    <w:rsid w:val="0001450E"/>
    <w:rsid w:val="00015D15"/>
    <w:rsid w:val="00016B26"/>
    <w:rsid w:val="00024C05"/>
    <w:rsid w:val="0002564D"/>
    <w:rsid w:val="00025940"/>
    <w:rsid w:val="00025ECA"/>
    <w:rsid w:val="00027ACC"/>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14B1"/>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4E95"/>
    <w:rsid w:val="00135252"/>
    <w:rsid w:val="0013741B"/>
    <w:rsid w:val="00137AB5"/>
    <w:rsid w:val="00137F0B"/>
    <w:rsid w:val="00151E23"/>
    <w:rsid w:val="001526E0"/>
    <w:rsid w:val="0015330D"/>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4F11"/>
    <w:rsid w:val="001B52E8"/>
    <w:rsid w:val="001B5A5D"/>
    <w:rsid w:val="001C1CE5"/>
    <w:rsid w:val="001C3D2A"/>
    <w:rsid w:val="001C62E3"/>
    <w:rsid w:val="001D3054"/>
    <w:rsid w:val="001D51BA"/>
    <w:rsid w:val="001D53E7"/>
    <w:rsid w:val="001D6342"/>
    <w:rsid w:val="001D6D53"/>
    <w:rsid w:val="001E1481"/>
    <w:rsid w:val="001E27DB"/>
    <w:rsid w:val="001E3994"/>
    <w:rsid w:val="001E553A"/>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5E19"/>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3C50"/>
    <w:rsid w:val="002E492F"/>
    <w:rsid w:val="002E7CAE"/>
    <w:rsid w:val="002F2771"/>
    <w:rsid w:val="002F2C0A"/>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1E66"/>
    <w:rsid w:val="00334579"/>
    <w:rsid w:val="00335858"/>
    <w:rsid w:val="00336BDA"/>
    <w:rsid w:val="00342BD7"/>
    <w:rsid w:val="0034380C"/>
    <w:rsid w:val="0034449E"/>
    <w:rsid w:val="00346DB5"/>
    <w:rsid w:val="003477B1"/>
    <w:rsid w:val="00355625"/>
    <w:rsid w:val="00357380"/>
    <w:rsid w:val="003602D9"/>
    <w:rsid w:val="003604CE"/>
    <w:rsid w:val="00360A5F"/>
    <w:rsid w:val="00370E47"/>
    <w:rsid w:val="00371562"/>
    <w:rsid w:val="003742AC"/>
    <w:rsid w:val="00377CE1"/>
    <w:rsid w:val="00382E6D"/>
    <w:rsid w:val="00383064"/>
    <w:rsid w:val="003852A3"/>
    <w:rsid w:val="00385BF0"/>
    <w:rsid w:val="00386C54"/>
    <w:rsid w:val="0039088F"/>
    <w:rsid w:val="003939FF"/>
    <w:rsid w:val="00394BCD"/>
    <w:rsid w:val="00397D60"/>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149CF"/>
    <w:rsid w:val="00414FEE"/>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594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5E46"/>
    <w:rsid w:val="00546970"/>
    <w:rsid w:val="00554E19"/>
    <w:rsid w:val="0056121F"/>
    <w:rsid w:val="00566B83"/>
    <w:rsid w:val="00571183"/>
    <w:rsid w:val="00572505"/>
    <w:rsid w:val="0057277A"/>
    <w:rsid w:val="00576B6F"/>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6B1A"/>
    <w:rsid w:val="006377EC"/>
    <w:rsid w:val="0064151F"/>
    <w:rsid w:val="00641533"/>
    <w:rsid w:val="0064208D"/>
    <w:rsid w:val="006433A0"/>
    <w:rsid w:val="00643475"/>
    <w:rsid w:val="0064396A"/>
    <w:rsid w:val="0064624E"/>
    <w:rsid w:val="00650AB9"/>
    <w:rsid w:val="00651787"/>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03BB"/>
    <w:rsid w:val="00681003"/>
    <w:rsid w:val="006817C9"/>
    <w:rsid w:val="00682596"/>
    <w:rsid w:val="00683ECE"/>
    <w:rsid w:val="00686DCF"/>
    <w:rsid w:val="006934DA"/>
    <w:rsid w:val="00693A70"/>
    <w:rsid w:val="00695FC2"/>
    <w:rsid w:val="00696949"/>
    <w:rsid w:val="00697052"/>
    <w:rsid w:val="00697198"/>
    <w:rsid w:val="006A3CE9"/>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20C"/>
    <w:rsid w:val="00707D61"/>
    <w:rsid w:val="00712287"/>
    <w:rsid w:val="00712772"/>
    <w:rsid w:val="007148D3"/>
    <w:rsid w:val="00714E6B"/>
    <w:rsid w:val="007159BE"/>
    <w:rsid w:val="00715B9A"/>
    <w:rsid w:val="00717510"/>
    <w:rsid w:val="007257D0"/>
    <w:rsid w:val="00726EA6"/>
    <w:rsid w:val="00727208"/>
    <w:rsid w:val="00727680"/>
    <w:rsid w:val="0073146E"/>
    <w:rsid w:val="00733DA5"/>
    <w:rsid w:val="007345EF"/>
    <w:rsid w:val="007348B1"/>
    <w:rsid w:val="0073493F"/>
    <w:rsid w:val="007362A6"/>
    <w:rsid w:val="00736AF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2B10"/>
    <w:rsid w:val="007C3D18"/>
    <w:rsid w:val="007C45F4"/>
    <w:rsid w:val="007C60BF"/>
    <w:rsid w:val="007C6A07"/>
    <w:rsid w:val="007C7453"/>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425E"/>
    <w:rsid w:val="008158D6"/>
    <w:rsid w:val="0081640C"/>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6980"/>
    <w:rsid w:val="008677FD"/>
    <w:rsid w:val="008706D4"/>
    <w:rsid w:val="00870F8A"/>
    <w:rsid w:val="008719A4"/>
    <w:rsid w:val="00871D23"/>
    <w:rsid w:val="00874312"/>
    <w:rsid w:val="0087437C"/>
    <w:rsid w:val="00875CD7"/>
    <w:rsid w:val="00876B4D"/>
    <w:rsid w:val="00876F6F"/>
    <w:rsid w:val="00877F18"/>
    <w:rsid w:val="00880AE3"/>
    <w:rsid w:val="008836A3"/>
    <w:rsid w:val="0088447A"/>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191"/>
    <w:rsid w:val="008E4780"/>
    <w:rsid w:val="008F1EAB"/>
    <w:rsid w:val="008F33DC"/>
    <w:rsid w:val="008F477F"/>
    <w:rsid w:val="008F6C80"/>
    <w:rsid w:val="008F7546"/>
    <w:rsid w:val="00902350"/>
    <w:rsid w:val="0090336B"/>
    <w:rsid w:val="009053AA"/>
    <w:rsid w:val="00906939"/>
    <w:rsid w:val="00906D30"/>
    <w:rsid w:val="00910B7D"/>
    <w:rsid w:val="00911DFB"/>
    <w:rsid w:val="009139D9"/>
    <w:rsid w:val="00914AD8"/>
    <w:rsid w:val="009156FB"/>
    <w:rsid w:val="00916079"/>
    <w:rsid w:val="0091712E"/>
    <w:rsid w:val="0091749D"/>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908"/>
    <w:rsid w:val="009A5CBA"/>
    <w:rsid w:val="009B1F30"/>
    <w:rsid w:val="009B3AC2"/>
    <w:rsid w:val="009B4DF4"/>
    <w:rsid w:val="009B564E"/>
    <w:rsid w:val="009B7E87"/>
    <w:rsid w:val="009C0169"/>
    <w:rsid w:val="009C403E"/>
    <w:rsid w:val="009D3A6F"/>
    <w:rsid w:val="009D4FF0"/>
    <w:rsid w:val="009D703C"/>
    <w:rsid w:val="009D718F"/>
    <w:rsid w:val="009E068F"/>
    <w:rsid w:val="009E06A6"/>
    <w:rsid w:val="009E14E0"/>
    <w:rsid w:val="009E35DB"/>
    <w:rsid w:val="009E47A3"/>
    <w:rsid w:val="009E6758"/>
    <w:rsid w:val="009F08F3"/>
    <w:rsid w:val="009F344F"/>
    <w:rsid w:val="009F3EB8"/>
    <w:rsid w:val="009F40EA"/>
    <w:rsid w:val="00A0013A"/>
    <w:rsid w:val="00A013E9"/>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2D56"/>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E7D16"/>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72AA"/>
    <w:rsid w:val="00B40445"/>
    <w:rsid w:val="00B409E0"/>
    <w:rsid w:val="00B41888"/>
    <w:rsid w:val="00B45A52"/>
    <w:rsid w:val="00B46175"/>
    <w:rsid w:val="00B52E72"/>
    <w:rsid w:val="00B548B7"/>
    <w:rsid w:val="00B664C7"/>
    <w:rsid w:val="00B70881"/>
    <w:rsid w:val="00B71320"/>
    <w:rsid w:val="00B71887"/>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0DD3"/>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2081"/>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6C19"/>
    <w:rsid w:val="00EA7A41"/>
    <w:rsid w:val="00EB077B"/>
    <w:rsid w:val="00EB4EA2"/>
    <w:rsid w:val="00EB5DD6"/>
    <w:rsid w:val="00EC192B"/>
    <w:rsid w:val="00EC24D5"/>
    <w:rsid w:val="00EC27C6"/>
    <w:rsid w:val="00EC4207"/>
    <w:rsid w:val="00EC5653"/>
    <w:rsid w:val="00EC58B8"/>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C36"/>
    <w:rsid w:val="00F15FA5"/>
    <w:rsid w:val="00F1715E"/>
    <w:rsid w:val="00F209B7"/>
    <w:rsid w:val="00F20F5C"/>
    <w:rsid w:val="00F2376F"/>
    <w:rsid w:val="00F243D8"/>
    <w:rsid w:val="00F30828"/>
    <w:rsid w:val="00F313D6"/>
    <w:rsid w:val="00F35DD8"/>
    <w:rsid w:val="00F36C09"/>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58B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0E01"/>
    <w:rsid w:val="00FB4C80"/>
    <w:rsid w:val="00FB6A6A"/>
    <w:rsid w:val="00FC011E"/>
    <w:rsid w:val="00FC5407"/>
    <w:rsid w:val="00FC7429"/>
    <w:rsid w:val="00FD07F6"/>
    <w:rsid w:val="00FD1EC8"/>
    <w:rsid w:val="00FD2A5E"/>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1901D"/>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188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4.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7.xml><?xml version="1.0" encoding="utf-8"?>
<ds:datastoreItem xmlns:ds="http://schemas.openxmlformats.org/officeDocument/2006/customXml" ds:itemID="{1824383E-D521-4785-83B4-F0193354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TotalTime>
  <Pages>13</Pages>
  <Words>5019</Words>
  <Characters>28613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 - Jagdeep</cp:lastModifiedBy>
  <cp:revision>5</cp:revision>
  <cp:lastPrinted>2008-01-31T07:09:00Z</cp:lastPrinted>
  <dcterms:created xsi:type="dcterms:W3CDTF">2022-10-31T16:29:00Z</dcterms:created>
  <dcterms:modified xsi:type="dcterms:W3CDTF">2022-10-31T16:43:00Z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