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5" w:color="auto" w:fill="FFFFFF"/>
          <w:lang w:val="pt-BR"/>
        </w:rPr>
        <w:t>xxxxx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5" w:color="auto" w:fill="FFFFFF"/>
        </w:rPr>
        <w:t>x.x.x</w:t>
      </w:r>
      <w:proofErr w:type="spellEnd"/>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tabs>
          <w:tab w:val="clear" w:pos="1619"/>
          <w:tab w:val="num" w:pos="759"/>
        </w:tabs>
        <w:overflowPunct/>
        <w:autoSpaceDE/>
        <w:autoSpaceDN/>
        <w:adjustRightInd/>
        <w:ind w:leftChars="200" w:left="760"/>
        <w:jc w:val="both"/>
        <w:textAlignment w:val="auto"/>
        <w:rPr>
          <w:rFonts w:ascii="Times New Roman" w:eastAsiaTheme="minorHAnsi" w:hAnsi="Times New Roman"/>
          <w:szCs w:val="22"/>
          <w:shd w:val="pct15" w:color="auto" w:fill="FFFFFF"/>
        </w:rPr>
      </w:pPr>
      <w:r>
        <w:rPr>
          <w:rFonts w:ascii="Times New Roman" w:hAnsi="Times New Roman"/>
          <w:shd w:val="pct15" w:color="auto" w:fill="FFFFFF"/>
        </w:rPr>
        <w:t>[Post119-e][610][</w:t>
      </w:r>
      <w:proofErr w:type="spellStart"/>
      <w:r>
        <w:rPr>
          <w:rFonts w:ascii="Times New Roman" w:hAnsi="Times New Roman"/>
          <w:shd w:val="pct15" w:color="auto" w:fill="FFFFFF"/>
        </w:rPr>
        <w:t>eMBS</w:t>
      </w:r>
      <w:proofErr w:type="spellEnd"/>
      <w:r>
        <w:rPr>
          <w:rFonts w:ascii="Times New Roman" w:hAnsi="Times New Roman"/>
          <w:shd w:val="pct15" w:color="auto" w:fill="FFFFFF"/>
        </w:rPr>
        <w:t>] PTM configuration for INACTIVE (CATT)</w:t>
      </w:r>
    </w:p>
    <w:p>
      <w:pPr>
        <w:pStyle w:val="EmailDiscussion2"/>
        <w:ind w:leftChars="198" w:left="759"/>
        <w:jc w:val="both"/>
        <w:rPr>
          <w:rFonts w:ascii="Times New Roman" w:hAnsi="Times New Roman"/>
          <w:shd w:val="pct15" w:color="auto" w:fill="FFFFFF"/>
        </w:rPr>
      </w:pPr>
      <w:r>
        <w:rPr>
          <w:rFonts w:ascii="Times New Roman" w:hAnsi="Times New Roman"/>
          <w:shd w:val="pct15" w:color="auto" w:fill="FFFFFF"/>
        </w:rPr>
        <w:t>Scope: Discuss the details of the identified PTM configuration solutions:</w:t>
      </w:r>
    </w:p>
    <w:p>
      <w:pPr>
        <w:pStyle w:val="EmailDiscussion2"/>
        <w:numPr>
          <w:ilvl w:val="2"/>
          <w:numId w:val="14"/>
        </w:numPr>
        <w:tabs>
          <w:tab w:val="clear" w:pos="1622"/>
          <w:tab w:val="clear" w:pos="2160"/>
          <w:tab w:val="num" w:pos="1300"/>
        </w:tabs>
        <w:ind w:leftChars="457" w:left="1274"/>
        <w:jc w:val="both"/>
        <w:rPr>
          <w:rFonts w:ascii="Times New Roman" w:eastAsiaTheme="minorHAnsi" w:hAnsi="Times New Roman"/>
          <w:szCs w:val="20"/>
          <w:shd w:val="pct15" w:color="auto" w:fill="FFFFFF"/>
        </w:rPr>
      </w:pPr>
      <w:r>
        <w:rPr>
          <w:rFonts w:ascii="Times New Roman" w:hAnsi="Times New Roman"/>
          <w:shd w:val="pct15" w:color="auto" w:fill="FFFFFF"/>
        </w:rPr>
        <w:t>Attempt to reach aligned understanding/descriptions (to the possible level of details) of the solutions including the aspect of UE state transitions, session state changes and related notifications</w:t>
      </w:r>
    </w:p>
    <w:p>
      <w:pPr>
        <w:pStyle w:val="EmailDiscussion2"/>
        <w:numPr>
          <w:ilvl w:val="2"/>
          <w:numId w:val="14"/>
        </w:numPr>
        <w:tabs>
          <w:tab w:val="clear" w:pos="1622"/>
          <w:tab w:val="clear" w:pos="2160"/>
          <w:tab w:val="num" w:pos="1300"/>
        </w:tabs>
        <w:ind w:leftChars="457" w:left="1274"/>
        <w:jc w:val="both"/>
        <w:rPr>
          <w:rFonts w:ascii="Times New Roman" w:hAnsi="Times New Roman"/>
          <w:shd w:val="pct15" w:color="auto" w:fill="FFFFFF"/>
        </w:rPr>
      </w:pPr>
      <w:r>
        <w:rPr>
          <w:rFonts w:ascii="Times New Roman" w:hAnsi="Times New Roman"/>
          <w:shd w:val="pct15" w:color="auto" w:fill="FFFFFF"/>
        </w:rPr>
        <w:t>Identify main issues and pros and cons specific for each approach</w:t>
      </w:r>
    </w:p>
    <w:p>
      <w:pPr>
        <w:pStyle w:val="EmailDiscussion2"/>
        <w:numPr>
          <w:ilvl w:val="2"/>
          <w:numId w:val="14"/>
        </w:numPr>
        <w:tabs>
          <w:tab w:val="clear" w:pos="1622"/>
          <w:tab w:val="clear" w:pos="2160"/>
          <w:tab w:val="num" w:pos="1300"/>
        </w:tabs>
        <w:ind w:leftChars="457" w:left="1274"/>
        <w:jc w:val="both"/>
        <w:rPr>
          <w:rFonts w:ascii="Times New Roman" w:hAnsi="Times New Roman"/>
          <w:shd w:val="pct15" w:color="auto" w:fill="FFFFFF"/>
        </w:rPr>
      </w:pPr>
      <w:r>
        <w:rPr>
          <w:rFonts w:ascii="Times New Roman" w:hAnsi="Times New Roman"/>
          <w:shd w:val="pct15" w:color="auto" w:fill="FFFFFF"/>
        </w:rPr>
        <w:t>Attempt to identify issues/solutions common for all approaches</w:t>
      </w:r>
    </w:p>
    <w:p>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5" w:color="auto" w:fill="FFFFFF"/>
        </w:rPr>
        <w:t>Outcome: Report with proposals</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7"/>
        <w:numPr>
          <w:ilvl w:val="0"/>
          <w:numId w:val="26"/>
        </w:numPr>
        <w:jc w:val="both"/>
        <w:rPr>
          <w:rFonts w:ascii="Times New Roman" w:hAnsi="Times New Roman"/>
          <w:sz w:val="20"/>
          <w:szCs w:val="20"/>
          <w:lang w:eastAsia="zh-CN"/>
        </w:rPr>
      </w:pPr>
      <w:r>
        <w:rPr>
          <w:rFonts w:ascii="Times New Roman" w:eastAsiaTheme="minorEastAsia" w:hAnsi="Times New Roman"/>
          <w:sz w:val="20"/>
          <w:szCs w:val="20"/>
          <w:lang w:eastAsia="zh-CN"/>
        </w:rPr>
        <w:t>Ph1: companies’</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comments </w:t>
      </w:r>
      <w:r>
        <w:rPr>
          <w:rFonts w:ascii="Times New Roman" w:eastAsiaTheme="minorEastAsia" w:hAnsi="Times New Roman" w:hint="eastAsia"/>
          <w:sz w:val="20"/>
          <w:szCs w:val="20"/>
          <w:lang w:eastAsia="zh-CN"/>
        </w:rPr>
        <w:t xml:space="preserve">collected </w:t>
      </w:r>
      <w:r>
        <w:rPr>
          <w:rFonts w:ascii="Times New Roman" w:eastAsiaTheme="minorEastAsia" w:hAnsi="Times New Roman"/>
          <w:sz w:val="20"/>
          <w:szCs w:val="20"/>
          <w:lang w:eastAsia="zh-CN"/>
        </w:rPr>
        <w:t xml:space="preserve">before </w:t>
      </w:r>
      <w:r>
        <w:rPr>
          <w:rFonts w:ascii="Times New Roman" w:eastAsiaTheme="minorEastAsia" w:hAnsi="Times New Roman"/>
          <w:sz w:val="20"/>
          <w:szCs w:val="20"/>
          <w:highlight w:val="yellow"/>
          <w:lang w:eastAsia="zh-CN"/>
        </w:rPr>
        <w:t>Friday September 24th 10:00 UTC</w:t>
      </w:r>
    </w:p>
    <w:p>
      <w:pPr>
        <w:pStyle w:val="af7"/>
        <w:numPr>
          <w:ilvl w:val="0"/>
          <w:numId w:val="26"/>
        </w:numPr>
        <w:jc w:val="both"/>
        <w:rPr>
          <w:rFonts w:ascii="Times New Roman" w:hAnsi="Times New Roman"/>
          <w:lang w:eastAsia="zh-CN"/>
        </w:rPr>
      </w:pPr>
      <w:r>
        <w:rPr>
          <w:rFonts w:ascii="Times New Roman" w:eastAsiaTheme="minorEastAsia" w:hAnsi="Times New Roman"/>
          <w:sz w:val="20"/>
          <w:szCs w:val="20"/>
          <w:lang w:eastAsia="zh-CN"/>
        </w:rPr>
        <w:t xml:space="preserve">Ph2: proposals/summary checked before </w:t>
      </w:r>
      <w:r>
        <w:rPr>
          <w:rFonts w:ascii="Times New Roman" w:eastAsiaTheme="minorEastAsia" w:hAnsi="Times New Roman"/>
          <w:sz w:val="20"/>
          <w:szCs w:val="20"/>
          <w:highlight w:val="yellow"/>
          <w:lang w:eastAsia="zh-CN"/>
        </w:rPr>
        <w:t>Thursday September 29th 12:00 UTC</w:t>
      </w:r>
    </w:p>
    <w:p>
      <w:pPr>
        <w:pStyle w:val="af7"/>
        <w:ind w:left="840"/>
        <w:jc w:val="both"/>
        <w:rPr>
          <w:rFonts w:ascii="Times New Roman" w:hAnsi="Times New Roman"/>
          <w:lang w:eastAsia="zh-CN"/>
        </w:rPr>
      </w:pPr>
    </w:p>
    <w:p>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lang w:eastAsia="zh-CN"/>
              </w:rPr>
            </w:pPr>
            <w:r>
              <w:rPr>
                <w:rFonts w:ascii="Times New Roman" w:hAnsi="Times New Roman"/>
                <w:b w:val="0"/>
                <w:sz w:val="20"/>
                <w:lang w:eastAsia="zh-CN"/>
              </w:rPr>
              <w:t>Delegate name (email address)</w:t>
            </w: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pStyle w:val="a8"/>
        <w:tabs>
          <w:tab w:val="left" w:pos="1429"/>
        </w:tabs>
        <w:rPr>
          <w:rFonts w:ascii="Times New Roman" w:hAnsi="Times New Roman"/>
        </w:rPr>
      </w:pPr>
    </w:p>
    <w:p>
      <w:pPr>
        <w:pStyle w:val="1"/>
      </w:pPr>
      <w:r>
        <w:lastRenderedPageBreak/>
        <w:t>3 General descriptions of the solutions</w:t>
      </w:r>
    </w:p>
    <w:p>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pPr>
        <w:pStyle w:val="Agreement"/>
        <w:numPr>
          <w:ilvl w:val="0"/>
          <w:numId w:val="0"/>
        </w:numPr>
        <w:spacing w:before="100" w:beforeAutospacing="1" w:after="100" w:afterAutospacing="1"/>
        <w:ind w:leftChars="309" w:left="618"/>
        <w:rPr>
          <w:rFonts w:ascii="Times New Roman" w:hAnsi="Times New Roman"/>
          <w:b w:val="0"/>
          <w:shd w:val="pct15" w:color="auto" w:fill="FFFFFF"/>
        </w:rPr>
      </w:pPr>
      <w:r>
        <w:rPr>
          <w:rFonts w:ascii="Times New Roman" w:hAnsi="Times New Roman"/>
          <w:b w:val="0"/>
          <w:shd w:val="pct15" w:color="auto" w:fill="FFFFFF"/>
        </w:rPr>
        <w:t>Option 1: Dedicated signalling</w:t>
      </w:r>
    </w:p>
    <w:p>
      <w:pPr>
        <w:pStyle w:val="Agreement"/>
        <w:numPr>
          <w:ilvl w:val="0"/>
          <w:numId w:val="0"/>
        </w:numPr>
        <w:spacing w:before="100" w:beforeAutospacing="1" w:after="100" w:afterAutospacing="1"/>
        <w:ind w:leftChars="309" w:left="618"/>
        <w:rPr>
          <w:rFonts w:ascii="Times New Roman" w:hAnsi="Times New Roman"/>
          <w:b w:val="0"/>
          <w:shd w:val="pct15" w:color="auto" w:fill="FFFFFF"/>
        </w:rPr>
      </w:pPr>
      <w:r>
        <w:rPr>
          <w:rFonts w:ascii="Times New Roman" w:hAnsi="Times New Roman"/>
          <w:b w:val="0"/>
          <w:shd w:val="pct15" w:color="auto" w:fill="FFFFFF"/>
        </w:rPr>
        <w:t>Option 2: Solution based on SIB+MCCH</w:t>
      </w:r>
    </w:p>
    <w:p>
      <w:pPr>
        <w:spacing w:before="100" w:beforeAutospacing="1" w:after="100" w:afterAutospacing="1"/>
        <w:ind w:leftChars="26" w:left="52" w:firstLine="567"/>
        <w:rPr>
          <w:lang w:eastAsia="zh-CN"/>
        </w:rPr>
      </w:pPr>
      <w:r>
        <w:rPr>
          <w:shd w:val="pct15" w:color="auto" w:fill="FFFFFF"/>
        </w:rPr>
        <w:t>We do not preclude some “mix” of the options</w:t>
      </w:r>
    </w:p>
    <w:p>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pPr>
        <w:pStyle w:val="21"/>
      </w:pPr>
      <w:r>
        <w:t>3.1 General description for Option 1: Dedicated signalling</w:t>
      </w:r>
    </w:p>
    <w:p>
      <w:pPr>
        <w:spacing w:before="100" w:beforeAutospacing="1" w:after="100" w:afterAutospacing="1"/>
      </w:pPr>
      <w:r>
        <w:t>The solution is characterized by the following</w:t>
      </w:r>
    </w:p>
    <w:p>
      <w:pPr>
        <w:pStyle w:val="af7"/>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1-a) PTM configurations for at least one cell are provided via dedicated RRC signaling to a UE. </w:t>
      </w:r>
    </w:p>
    <w:p>
      <w:pPr>
        <w:pStyle w:val="af7"/>
        <w:spacing w:before="100" w:beforeAutospacing="1" w:after="100" w:afterAutospacing="1"/>
        <w:ind w:leftChars="120" w:left="240"/>
        <w:jc w:val="both"/>
        <w:rPr>
          <w:rFonts w:ascii="Times New Roman" w:hAnsi="Times New Roman"/>
          <w:sz w:val="20"/>
          <w:szCs w:val="20"/>
        </w:rPr>
      </w:pPr>
      <w:r>
        <w:rPr>
          <w:rFonts w:ascii="Times New Roman" w:eastAsiaTheme="minorEastAsia" w:hAnsi="Times New Roman" w:hint="eastAsia"/>
          <w:sz w:val="20"/>
          <w:szCs w:val="20"/>
          <w:lang w:eastAsia="zh-CN"/>
        </w:rPr>
        <w:t>(</w:t>
      </w:r>
      <w:r>
        <w:rPr>
          <w:rFonts w:ascii="Times New Roman" w:hAnsi="Times New Roman"/>
          <w:sz w:val="20"/>
          <w:szCs w:val="20"/>
        </w:rPr>
        <w:t xml:space="preserve">1-b) The RRC message for this includes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RRCRelease</w:t>
      </w:r>
      <w:proofErr w:type="spellEnd"/>
      <w:r>
        <w:rPr>
          <w:rFonts w:ascii="Times New Roman" w:hAnsi="Times New Roman"/>
          <w:sz w:val="20"/>
          <w:szCs w:val="20"/>
        </w:rPr>
        <w:t xml:space="preserve"> (details FFS)</w:t>
      </w:r>
    </w:p>
    <w:p>
      <w:pPr>
        <w:pStyle w:val="af7"/>
        <w:spacing w:before="100" w:beforeAutospacing="1" w:after="100" w:afterAutospacing="1"/>
        <w:ind w:leftChars="120" w:left="240"/>
        <w:jc w:val="both"/>
        <w:rPr>
          <w:rFonts w:ascii="Times New Roman" w:eastAsiaTheme="minorEastAsia" w:hAnsi="Times New Roman"/>
          <w:lang w:eastAsia="zh-CN"/>
        </w:rPr>
      </w:pPr>
      <w:r>
        <w:rPr>
          <w:rFonts w:ascii="Times New Roman" w:eastAsiaTheme="minorEastAsia" w:hAnsi="Times New Roman" w:hint="eastAsia"/>
          <w:sz w:val="20"/>
          <w:szCs w:val="20"/>
          <w:lang w:eastAsia="zh-CN"/>
        </w:rPr>
        <w:t>(</w:t>
      </w:r>
      <w:r>
        <w:rPr>
          <w:rFonts w:ascii="Times New Roman" w:hAnsi="Times New Roman"/>
          <w:sz w:val="20"/>
          <w:szCs w:val="20"/>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eastAsia="zh-CN"/>
        </w:rPr>
        <w:t xml:space="preserve">(e.g., </w:t>
      </w:r>
      <w:r>
        <w:rPr>
          <w:rFonts w:ascii="Times New Roman" w:hAnsi="Times New Roman"/>
          <w:sz w:val="20"/>
          <w:szCs w:val="20"/>
        </w:rPr>
        <w:t>including update of PTM configuration parameters or disabling INACTIVE PTM configuration for any of the configured cell</w:t>
      </w:r>
      <w:r>
        <w:rPr>
          <w:rFonts w:ascii="Times New Roman" w:eastAsiaTheme="minorEastAsia" w:hAnsi="Times New Roman" w:hint="eastAsia"/>
          <w:sz w:val="20"/>
          <w:szCs w:val="20"/>
          <w:lang w:eastAsia="zh-CN"/>
        </w:rPr>
        <w:t>(</w:t>
      </w:r>
      <w:r>
        <w:rPr>
          <w:rFonts w:ascii="Times New Roman" w:hAnsi="Times New Roman"/>
          <w:sz w:val="20"/>
          <w:szCs w:val="20"/>
        </w:rPr>
        <w:t>s</w:t>
      </w:r>
      <w:r>
        <w:rPr>
          <w:rFonts w:ascii="Times New Roman" w:eastAsiaTheme="minorEastAsia" w:hAnsi="Times New Roman" w:hint="eastAsia"/>
          <w:sz w:val="20"/>
          <w:szCs w:val="20"/>
          <w:lang w:eastAsia="zh-CN"/>
        </w:rPr>
        <w:t>))</w:t>
      </w:r>
      <w:r>
        <w:rPr>
          <w:rFonts w:ascii="Times New Roman" w:hAnsi="Times New Roman"/>
          <w:sz w:val="20"/>
          <w:szCs w:val="20"/>
        </w:rPr>
        <w:t>, the UE is notified of such changes</w:t>
      </w:r>
      <w:r>
        <w:rPr>
          <w:rFonts w:ascii="Times New Roman" w:eastAsiaTheme="minorEastAsia" w:hAnsi="Times New Roman" w:hint="eastAsia"/>
          <w:sz w:val="20"/>
          <w:szCs w:val="20"/>
          <w:lang w:eastAsia="zh-CN"/>
        </w:rPr>
        <w:t xml:space="preserve"> </w:t>
      </w:r>
      <w:r>
        <w:rPr>
          <w:rFonts w:ascii="Times New Roman" w:hAnsi="Times New Roman"/>
          <w:sz w:val="20"/>
          <w:szCs w:val="20"/>
        </w:rPr>
        <w:t xml:space="preserve">and is required to resume RRC connection to obtain the updated configurations. </w:t>
      </w:r>
      <w:r>
        <w:rPr>
          <w:rFonts w:ascii="Times New Roman" w:eastAsiaTheme="minorEastAsia" w:hAnsi="Times New Roman" w:hint="eastAsia"/>
          <w:sz w:val="20"/>
          <w:szCs w:val="20"/>
          <w:lang w:eastAsia="zh-CN"/>
        </w:rPr>
        <w:t xml:space="preserve">In case of mobility in RRC_INACTIVE, </w:t>
      </w:r>
      <w:r>
        <w:rPr>
          <w:rFonts w:ascii="Times New Roman" w:hAnsi="Times New Roman"/>
          <w:sz w:val="20"/>
          <w:szCs w:val="20"/>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strike/>
        </w:rPr>
      </w:pPr>
    </w:p>
    <w:p>
      <w:pPr>
        <w:pStyle w:val="21"/>
      </w:pPr>
      <w:r>
        <w:t>3.2 General description for Option 2: Solution based on SIB+MCCH</w:t>
      </w:r>
    </w:p>
    <w:p>
      <w:pPr>
        <w:jc w:val="both"/>
      </w:pPr>
      <w:r>
        <w:t>The solution is characterized by the following</w:t>
      </w:r>
    </w:p>
    <w:p>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2-a) PTM configurations are provided via an MCCH-like channel (same or different as used for MBS broadcast), and information regarding MCCH scheduling is provided via SIB</w:t>
      </w:r>
    </w:p>
    <w:p>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2-b) UE can receive such configurations when it is in RRC_INACTIVE, FFS whether it is allowed/needed to also receive when UE is in RRC_CONNECTED</w:t>
      </w:r>
    </w:p>
    <w:p>
      <w:pPr>
        <w:pStyle w:val="af7"/>
        <w:spacing w:before="100" w:beforeAutospacing="1" w:after="100" w:afterAutospacing="1"/>
        <w:ind w:leftChars="220" w:left="440"/>
        <w:jc w:val="both"/>
        <w:rPr>
          <w:rFonts w:ascii="Times New Roman" w:hAnsi="Times New Roman"/>
          <w:sz w:val="20"/>
          <w:szCs w:val="20"/>
        </w:rPr>
      </w:pPr>
      <w:r>
        <w:rPr>
          <w:rFonts w:ascii="Times New Roman" w:hAnsi="Times New Roman"/>
          <w:sz w:val="20"/>
          <w:szCs w:val="20"/>
        </w:rPr>
        <w:t>2-c) If there is a need to update some or all the received configurations, UE does not need to resume RRC connection but is notified of such changes (e.g. via MCCH DCI) and obtains the updated configurations via MCCH.</w:t>
      </w:r>
    </w:p>
    <w:p>
      <w:pPr>
        <w:rPr>
          <w:color w:val="0070C0"/>
        </w:rPr>
      </w:pPr>
      <w:r>
        <w:rPr>
          <w:b/>
          <w:color w:val="0070C0"/>
        </w:rPr>
        <w:t>Q2: Do you have any comments on the above descriptions of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pStyle w:val="1"/>
        <w:rPr>
          <w:lang w:eastAsia="zh-CN"/>
        </w:rPr>
      </w:pPr>
      <w:r>
        <w:t>4 Common aspects for both option 1 and 2</w:t>
      </w:r>
    </w:p>
    <w:p>
      <w:pPr>
        <w:rPr>
          <w:lang w:eastAsia="zh-CN"/>
        </w:rPr>
      </w:pPr>
      <w:r>
        <w:rPr>
          <w:rFonts w:hint="eastAsia"/>
          <w:lang w:eastAsia="zh-CN"/>
        </w:rPr>
        <w:t xml:space="preserve">Previously we agreed the following </w:t>
      </w:r>
    </w:p>
    <w:p>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In Rel-18, multicast reception for UEs in INACTIVE supports at least the following scenarios, with the assumption that the UE already has a valid PTM configuration:</w:t>
      </w:r>
    </w:p>
    <w:p>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w:t>
      </w:r>
      <w:r>
        <w:rPr>
          <w:rFonts w:ascii="Times New Roman" w:hAnsi="Times New Roman"/>
          <w:b w:val="0"/>
          <w:shd w:val="pct15" w:color="auto" w:fill="FFFFFF"/>
        </w:rPr>
        <w:tab/>
        <w:t>Scenario 1: a UE has been receiving multicast in CONNECTED, and it enters INACTIVE and continues the multicast reception.</w:t>
      </w:r>
    </w:p>
    <w:p>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w:t>
      </w:r>
      <w:r>
        <w:rPr>
          <w:rFonts w:ascii="Times New Roman" w:hAnsi="Times New Roman"/>
          <w:b w:val="0"/>
          <w:shd w:val="pct15" w:color="auto" w:fill="FFFFFF"/>
        </w:rPr>
        <w:tab/>
        <w:t>Scenario 2: a UE has joined a multicast session and has been directed to INACTIVE, the UE starts to receive the multicast session</w:t>
      </w:r>
    </w:p>
    <w:p>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5" w:color="auto" w:fill="FFFFFF"/>
        </w:rPr>
        <w:t>FFS for state changes, e.g. due to service being not provided in INACTIVE anymore etc.</w:t>
      </w:r>
    </w:p>
    <w:p>
      <w:pPr>
        <w:pStyle w:val="Agreement"/>
        <w:numPr>
          <w:ilvl w:val="0"/>
          <w:numId w:val="0"/>
        </w:numPr>
        <w:spacing w:before="100" w:beforeAutospacing="1" w:after="100" w:afterAutospacing="1"/>
        <w:ind w:leftChars="309" w:left="618"/>
        <w:jc w:val="both"/>
        <w:rPr>
          <w:rFonts w:ascii="Times New Roman" w:hAnsi="Times New Roman"/>
          <w:b w:val="0"/>
          <w:shd w:val="pct15" w:color="auto" w:fill="FFFFFF"/>
        </w:rPr>
      </w:pPr>
      <w:r>
        <w:rPr>
          <w:rFonts w:ascii="Times New Roman" w:hAnsi="Times New Roman"/>
          <w:b w:val="0"/>
          <w:shd w:val="pct15" w:color="auto" w:fill="FFFFFF"/>
        </w:rPr>
        <w:t xml:space="preserve">It is up to </w:t>
      </w:r>
      <w:proofErr w:type="spellStart"/>
      <w:r>
        <w:rPr>
          <w:rFonts w:ascii="Times New Roman" w:hAnsi="Times New Roman"/>
          <w:b w:val="0"/>
          <w:shd w:val="pct15" w:color="auto" w:fill="FFFFFF"/>
        </w:rPr>
        <w:t>gNB</w:t>
      </w:r>
      <w:proofErr w:type="spellEnd"/>
      <w:r>
        <w:rPr>
          <w:rFonts w:ascii="Times New Roman" w:hAnsi="Times New Roman"/>
          <w:b w:val="0"/>
          <w:shd w:val="pct15" w:color="auto" w:fill="FFFFFF"/>
        </w:rPr>
        <w:t xml:space="preserve"> to decide whether a multicast session may be received by UE(s) in INACTIVE. FFS what information </w:t>
      </w:r>
      <w:proofErr w:type="spellStart"/>
      <w:r>
        <w:rPr>
          <w:rFonts w:ascii="Times New Roman" w:hAnsi="Times New Roman"/>
          <w:b w:val="0"/>
          <w:shd w:val="pct15" w:color="auto" w:fill="FFFFFF"/>
        </w:rPr>
        <w:t>gNB</w:t>
      </w:r>
      <w:proofErr w:type="spellEnd"/>
      <w:r>
        <w:rPr>
          <w:rFonts w:ascii="Times New Roman" w:hAnsi="Times New Roman"/>
          <w:b w:val="0"/>
          <w:shd w:val="pct15" w:color="auto" w:fill="FFFFFF"/>
        </w:rPr>
        <w:t xml:space="preserve"> may be provided to form such decision (related to SA2 discussion).</w:t>
      </w:r>
    </w:p>
    <w:p>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5" w:color="auto" w:fill="FFFFFF"/>
          <w:lang w:eastAsia="zh-CN"/>
        </w:rPr>
      </w:pPr>
      <w:r>
        <w:rPr>
          <w:rFonts w:ascii="Times New Roman" w:hAnsi="Times New Roman"/>
          <w:b w:val="0"/>
          <w:shd w:val="pct15" w:color="auto" w:fill="FFFFFF"/>
        </w:rPr>
        <w:t>It is assumed the network can choose which UEs receive in RRC INACTIVE and which in RRC Connected and can move UEs between the states for Multicast service reception.</w:t>
      </w:r>
    </w:p>
    <w:p>
      <w:pPr>
        <w:rPr>
          <w:lang w:eastAsia="zh-CN"/>
        </w:rPr>
      </w:pPr>
      <w:r>
        <w:rPr>
          <w:lang w:eastAsia="zh-CN"/>
        </w:rPr>
        <w:t>S</w:t>
      </w:r>
      <w:r>
        <w:rPr>
          <w:rFonts w:hint="eastAsia"/>
          <w:lang w:eastAsia="zh-CN"/>
        </w:rPr>
        <w:t xml:space="preserve">o in the next two issues we discuss how this is done. </w:t>
      </w:r>
    </w:p>
    <w:p>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pPr>
        <w:jc w:val="both"/>
      </w:pPr>
      <w:r>
        <w:t>This issue assumes UE staying in the same cell (i.e., without mobility).</w:t>
      </w:r>
    </w:p>
    <w:p>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xml:space="preserve">) for such indication. </w:t>
      </w:r>
    </w:p>
    <w:p>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pStyle w:val="21"/>
      </w:pPr>
      <w:r>
        <w:lastRenderedPageBreak/>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r>
        <w:t>This issue assumes UE staying in the same cell (i.e., without mobility).</w:t>
      </w:r>
    </w:p>
    <w:p>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w:t>
      </w:r>
      <w:bookmarkStart w:id="0" w:name="_GoBack"/>
      <w:bookmarkEnd w:id="0"/>
      <w:r>
        <w:t xml:space="preserve">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lang w:eastAsia="zh-CN"/>
        </w:rPr>
      </w:pPr>
    </w:p>
    <w:p>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b/>
          <w:lang w:eastAsia="zh-CN"/>
        </w:rPr>
      </w:pPr>
    </w:p>
    <w:p>
      <w:pPr>
        <w:pStyle w:val="21"/>
      </w:pPr>
      <w:r>
        <w:t>Common issue 3</w:t>
      </w:r>
      <w:r>
        <w:tab/>
      </w:r>
      <w:r>
        <w:rPr>
          <w:rFonts w:hint="eastAsia"/>
          <w:lang w:eastAsia="zh-CN"/>
        </w:rPr>
        <w:t>A</w:t>
      </w:r>
      <w:r>
        <w:t>pplicable area of the PTM configurations</w:t>
      </w:r>
    </w:p>
    <w:p>
      <w:pPr>
        <w:rPr>
          <w:lang w:eastAsia="zh-CN"/>
        </w:rPr>
      </w:pPr>
      <w:r>
        <w:rPr>
          <w:rFonts w:hint="eastAsia"/>
          <w:lang w:eastAsia="zh-CN"/>
        </w:rPr>
        <w:t xml:space="preserve">Previously we agreed that </w:t>
      </w:r>
    </w:p>
    <w:p>
      <w:pPr>
        <w:ind w:leftChars="100" w:left="200"/>
        <w:rPr>
          <w:lang w:eastAsia="zh-CN"/>
        </w:rPr>
      </w:pPr>
      <w:r>
        <w:rPr>
          <w:shd w:val="pct15" w:color="auto" w:fill="FFFFFF"/>
          <w:lang w:eastAsia="zh-CN"/>
        </w:rPr>
        <w:t>Multicast service continuity after cell reselection in RRC_INACTIVE state (i.e. without resuming RRC connection) will be supported (if the configuration of the new cell is available for the UE).</w:t>
      </w:r>
    </w:p>
    <w:p>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color w:val="0070C0"/>
        </w:rPr>
      </w:pPr>
    </w:p>
    <w:p>
      <w:pPr>
        <w:jc w:val="both"/>
      </w:pPr>
      <w:r>
        <w:rPr>
          <w:rFonts w:hint="eastAsia"/>
          <w:b/>
          <w:color w:val="0070C0"/>
          <w:lang w:eastAsia="zh-CN"/>
        </w:rPr>
        <w:lastRenderedPageBreak/>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pPr>
        <w:jc w:val="both"/>
        <w:rPr>
          <w:u w:val="single"/>
          <w:lang w:eastAsia="zh-CN"/>
        </w:rPr>
      </w:pPr>
      <w:r>
        <w:rPr>
          <w:rFonts w:hint="eastAsia"/>
          <w:u w:val="single"/>
          <w:lang w:eastAsia="zh-CN"/>
        </w:rPr>
        <w:t>Session activation</w:t>
      </w:r>
    </w:p>
    <w:p>
      <w:pPr>
        <w:rPr>
          <w:lang w:eastAsia="zh-CN"/>
        </w:rPr>
      </w:pPr>
      <w:r>
        <w:rPr>
          <w:rFonts w:hint="eastAsia"/>
          <w:lang w:eastAsia="zh-CN"/>
        </w:rPr>
        <w:t>Previously RAN2 agreed</w:t>
      </w:r>
    </w:p>
    <w:p>
      <w:pPr>
        <w:ind w:leftChars="100" w:left="200"/>
        <w:rPr>
          <w:shd w:val="pct15" w:color="auto" w:fill="FFFFFF"/>
          <w:lang w:eastAsia="zh-CN"/>
        </w:rPr>
      </w:pPr>
      <w:r>
        <w:rPr>
          <w:shd w:val="pct15" w:color="auto" w:fill="FFFFFF"/>
          <w:lang w:eastAsia="zh-CN"/>
        </w:rPr>
        <w:t></w:t>
      </w:r>
      <w:r>
        <w:rPr>
          <w:shd w:val="pct15" w:color="auto" w:fill="FFFFFF"/>
          <w:lang w:eastAsia="zh-CN"/>
        </w:rPr>
        <w:tab/>
        <w:t>In Rel-18, multicast reception for UEs in INACTIVE supports at least the following scenarios, with the assumption that the UE already has a valid PTM configuration:</w:t>
      </w:r>
    </w:p>
    <w:p>
      <w:pPr>
        <w:ind w:leftChars="100" w:left="200"/>
        <w:rPr>
          <w:shd w:val="pct15" w:color="auto" w:fill="FFFFFF"/>
          <w:lang w:eastAsia="zh-CN"/>
        </w:rPr>
      </w:pPr>
      <w:r>
        <w:rPr>
          <w:shd w:val="pct15" w:color="auto" w:fill="FFFFFF"/>
          <w:lang w:eastAsia="zh-CN"/>
        </w:rPr>
        <w:t>-</w:t>
      </w:r>
      <w:r>
        <w:rPr>
          <w:shd w:val="pct15" w:color="auto" w:fill="FFFFFF"/>
          <w:lang w:eastAsia="zh-CN"/>
        </w:rPr>
        <w:tab/>
        <w:t>Scenario 1: a UE has been receiving multicast in CONNECTED, and it enters INACTIVE and continues the multicast reception.</w:t>
      </w:r>
    </w:p>
    <w:p>
      <w:pPr>
        <w:ind w:leftChars="100" w:left="200"/>
        <w:rPr>
          <w:shd w:val="pct15" w:color="auto" w:fill="FFFFFF"/>
          <w:lang w:eastAsia="zh-CN"/>
        </w:rPr>
      </w:pPr>
      <w:r>
        <w:rPr>
          <w:shd w:val="pct15" w:color="auto" w:fill="FFFFFF"/>
          <w:lang w:eastAsia="zh-CN"/>
        </w:rPr>
        <w:t>-</w:t>
      </w:r>
      <w:r>
        <w:rPr>
          <w:shd w:val="pct15" w:color="auto" w:fill="FFFFFF"/>
          <w:lang w:eastAsia="zh-CN"/>
        </w:rPr>
        <w:tab/>
        <w:t>Scenario 2: a UE has joined a multicast session and has been directed to INACTIVE, the UE starts to receive the multicast session</w:t>
      </w:r>
    </w:p>
    <w:p>
      <w:pPr>
        <w:ind w:leftChars="100" w:left="200"/>
        <w:rPr>
          <w:shd w:val="pct15" w:color="auto" w:fill="FFFFFF"/>
          <w:lang w:eastAsia="zh-CN"/>
        </w:rPr>
      </w:pPr>
      <w:r>
        <w:rPr>
          <w:shd w:val="pct15" w:color="auto" w:fill="FFFFFF"/>
          <w:lang w:eastAsia="zh-CN"/>
        </w:rPr>
        <w:t>FFS for state changes, e.g. due to service being not provided in INACTIVE anymore etc.</w:t>
      </w:r>
    </w:p>
    <w:p>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pPr>
        <w:rPr>
          <w:shd w:val="pct15"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b/>
          <w:color w:val="0070C0"/>
          <w:lang w:eastAsia="zh-CN"/>
        </w:rPr>
      </w:pPr>
    </w:p>
    <w:p>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b/>
          <w:color w:val="0070C0"/>
          <w:lang w:eastAsia="zh-CN"/>
        </w:rPr>
      </w:pPr>
    </w:p>
    <w:p>
      <w:pPr>
        <w:jc w:val="both"/>
        <w:rPr>
          <w:b/>
          <w:color w:val="0070C0"/>
          <w:lang w:eastAsia="zh-CN"/>
        </w:rPr>
      </w:pPr>
    </w:p>
    <w:p>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u w:val="single"/>
          <w:lang w:eastAsia="zh-CN"/>
        </w:rPr>
      </w:pPr>
    </w:p>
    <w:p>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pPr>
        <w:jc w:val="both"/>
        <w:rPr>
          <w:u w:val="single"/>
          <w:lang w:eastAsia="zh-CN"/>
        </w:rPr>
      </w:pPr>
      <w:r>
        <w:rPr>
          <w:rFonts w:hint="eastAsia"/>
          <w:u w:val="single"/>
          <w:lang w:eastAsia="zh-CN"/>
        </w:rPr>
        <w:t>Session deactivation</w:t>
      </w:r>
    </w:p>
    <w:p>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b/>
          <w:color w:val="0070C0"/>
          <w:lang w:eastAsia="zh-CN"/>
        </w:rPr>
      </w:pPr>
    </w:p>
    <w:p>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u w:val="single"/>
          <w:lang w:eastAsia="zh-CN"/>
        </w:rPr>
      </w:pPr>
    </w:p>
    <w:p>
      <w:pPr>
        <w:jc w:val="both"/>
        <w:rPr>
          <w:u w:val="single"/>
          <w:lang w:eastAsia="zh-CN"/>
        </w:rPr>
      </w:pPr>
      <w:r>
        <w:rPr>
          <w:rFonts w:hint="eastAsia"/>
          <w:u w:val="single"/>
          <w:lang w:eastAsia="zh-CN"/>
        </w:rPr>
        <w:t>Session release</w:t>
      </w:r>
    </w:p>
    <w:p>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b/>
          <w:color w:val="0070C0"/>
          <w:lang w:eastAsia="zh-CN"/>
        </w:rPr>
      </w:pPr>
    </w:p>
    <w:p>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pStyle w:val="21"/>
        <w:rPr>
          <w:u w:val="single"/>
          <w:lang w:eastAsia="zh-CN"/>
        </w:rPr>
      </w:pPr>
      <w:r>
        <w:t>Other common issues</w:t>
      </w:r>
    </w:p>
    <w:p>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pStyle w:val="1"/>
      </w:pPr>
      <w:r>
        <w:t>5 Issues specific for Option 1 and 2</w:t>
      </w:r>
    </w:p>
    <w:p>
      <w:r>
        <w:t xml:space="preserve">In this section, we further discuss the specific issues of Option 1 and 2, respectively. </w:t>
      </w:r>
    </w:p>
    <w:p>
      <w:pPr>
        <w:pStyle w:val="21"/>
      </w:pPr>
      <w:r>
        <w:t>5.1 Further analysis of Option 1</w:t>
      </w:r>
    </w:p>
    <w:p>
      <w:pPr>
        <w:rPr>
          <w:u w:val="single"/>
        </w:rPr>
      </w:pPr>
      <w:r>
        <w:rPr>
          <w:b/>
        </w:rPr>
        <w:t>Issue 1-1 How to inform the UE when network changes the PTM configurations</w:t>
      </w:r>
    </w:p>
    <w:p>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lang w:eastAsia="zh-CN"/>
        </w:rPr>
      </w:pPr>
    </w:p>
    <w:p>
      <w:pPr>
        <w:jc w:val="both"/>
        <w:rPr>
          <w:u w:val="single"/>
        </w:rPr>
      </w:pPr>
      <w:r>
        <w:rPr>
          <w:b/>
        </w:rPr>
        <w:t>Issue 1-2 How to handle the cases when a large number of UEs in the cell needs PTM configurations update?</w:t>
      </w:r>
    </w:p>
    <w:p>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jc w:val="both"/>
        <w:rPr>
          <w:b/>
          <w:color w:val="0070C0"/>
          <w:lang w:eastAsia="zh-CN"/>
        </w:rPr>
      </w:pPr>
      <w:r>
        <w:rPr>
          <w:b/>
        </w:rPr>
        <w:t xml:space="preserve">Other issues </w:t>
      </w:r>
      <w:r>
        <w:rPr>
          <w:rFonts w:hint="eastAsia"/>
          <w:b/>
          <w:lang w:eastAsia="zh-CN"/>
        </w:rPr>
        <w:t xml:space="preserve">specific </w:t>
      </w:r>
      <w:r>
        <w:rPr>
          <w:b/>
        </w:rPr>
        <w:t>for option 1</w:t>
      </w:r>
    </w:p>
    <w:p>
      <w:pPr>
        <w:rPr>
          <w:b/>
        </w:rPr>
      </w:pPr>
      <w:r>
        <w:rPr>
          <w:b/>
          <w:color w:val="0070C0"/>
        </w:rPr>
        <w:t>Q</w:t>
      </w:r>
      <w:r>
        <w:rPr>
          <w:rFonts w:hint="eastAsia"/>
          <w:b/>
          <w:color w:val="0070C0"/>
          <w:lang w:eastAsia="zh-CN"/>
        </w:rPr>
        <w:t>18</w:t>
      </w:r>
      <w:r>
        <w:rPr>
          <w:b/>
          <w:color w:val="0070C0"/>
        </w:rPr>
        <w:t>: Do you see any other issues specific for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lang w:eastAsia="zh-CN"/>
        </w:rPr>
      </w:pPr>
    </w:p>
    <w:p>
      <w:pPr>
        <w:pStyle w:val="21"/>
      </w:pPr>
      <w:r>
        <w:t>5.2 Further analysis of Option 2</w:t>
      </w:r>
    </w:p>
    <w:p>
      <w:pPr>
        <w:jc w:val="both"/>
        <w:rPr>
          <w:u w:val="single"/>
        </w:rPr>
      </w:pPr>
      <w:r>
        <w:rPr>
          <w:b/>
        </w:rPr>
        <w:t xml:space="preserve">Issue 2-1 Is there security concern when UE can obtain all the PTM configurations for a multicast service via Option 2? </w:t>
      </w:r>
    </w:p>
    <w:p>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lastRenderedPageBreak/>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
      <w:pPr>
        <w:rPr>
          <w:lang w:eastAsia="zh-CN"/>
        </w:rPr>
      </w:pPr>
      <w:r>
        <w:rPr>
          <w:rFonts w:hint="eastAsia"/>
          <w:lang w:eastAsia="zh-CN"/>
        </w:rPr>
        <w:t xml:space="preserve">Then companies are encouraged to share their views regarding the considered solution if they see an issue here. </w:t>
      </w:r>
    </w:p>
    <w:p>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61"/>
        <w:gridCol w:w="7588"/>
      </w:tblGrid>
      <w:tr>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How to solve the issue, if your answer to the previous question is Yes.</w:t>
            </w: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10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393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lang w:eastAsia="zh-CN"/>
        </w:rPr>
      </w:pPr>
    </w:p>
    <w:p>
      <w:pPr>
        <w:jc w:val="both"/>
      </w:pPr>
      <w:r>
        <w:rPr>
          <w:b/>
        </w:rPr>
        <w:t xml:space="preserve">Issue 2-2 </w:t>
      </w:r>
      <w:r>
        <w:rPr>
          <w:rFonts w:hint="eastAsia"/>
          <w:b/>
          <w:lang w:eastAsia="zh-CN"/>
        </w:rPr>
        <w:t>D</w:t>
      </w:r>
      <w:r>
        <w:rPr>
          <w:b/>
        </w:rPr>
        <w:t>esign for MCCH and change notification for option 2</w:t>
      </w:r>
    </w:p>
    <w:p>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jc w:val="both"/>
        <w:rPr>
          <w:lang w:eastAsia="zh-CN"/>
        </w:rPr>
      </w:pPr>
    </w:p>
    <w:p>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56"/>
        <w:gridCol w:w="1117"/>
        <w:gridCol w:w="7376"/>
      </w:tblGrid>
      <w:tr>
        <w:trPr>
          <w:trHeight w:val="240"/>
        </w:trPr>
        <w:tc>
          <w:tcPr>
            <w:tcW w:w="5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Company</w:t>
            </w:r>
          </w:p>
        </w:tc>
        <w:tc>
          <w:tcPr>
            <w:tcW w:w="57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eastAsia="zh-CN"/>
              </w:rPr>
            </w:pPr>
            <w:r>
              <w:rPr>
                <w:rFonts w:ascii="Times New Roman" w:hAnsi="Times New Roman" w:hint="eastAsia"/>
                <w:b w:val="0"/>
                <w:sz w:val="20"/>
                <w:lang w:eastAsia="zh-CN"/>
              </w:rPr>
              <w:t>Yes or no</w:t>
            </w:r>
          </w:p>
        </w:tc>
        <w:tc>
          <w:tcPr>
            <w:tcW w:w="38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eastAsia="zh-CN"/>
              </w:rPr>
            </w:pPr>
            <w:r>
              <w:rPr>
                <w:rFonts w:ascii="Times New Roman" w:hAnsi="Times New Roman"/>
                <w:b w:val="0"/>
                <w:sz w:val="20"/>
                <w:lang w:eastAsia="zh-CN"/>
              </w:rPr>
              <w:t>Comments if any</w:t>
            </w: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r>
        <w:trPr>
          <w:trHeight w:val="240"/>
        </w:trPr>
        <w:tc>
          <w:tcPr>
            <w:tcW w:w="59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57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eastAsia="zh-CN"/>
              </w:rPr>
            </w:pPr>
          </w:p>
        </w:tc>
        <w:tc>
          <w:tcPr>
            <w:tcW w:w="382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lang w:eastAsia="zh-CN"/>
        </w:rPr>
      </w:pPr>
    </w:p>
    <w:p>
      <w:r>
        <w:t xml:space="preserve">Rapporteur understands the change notification mechanism or its enhancements could be discussed in a later stage when the above issues are clearer. </w:t>
      </w:r>
    </w:p>
    <w:p/>
    <w:p>
      <w:pPr>
        <w:jc w:val="both"/>
        <w:rPr>
          <w:u w:val="single"/>
        </w:rPr>
      </w:pPr>
      <w:r>
        <w:rPr>
          <w:b/>
        </w:rPr>
        <w:t>Other issues specific for option 2</w:t>
      </w:r>
    </w:p>
    <w:p>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0"/>
        <w:gridCol w:w="7695"/>
      </w:tblGrid>
      <w:tr>
        <w:trPr>
          <w:trHeight w:val="240"/>
        </w:trPr>
        <w:tc>
          <w:tcPr>
            <w:tcW w:w="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Company</w:t>
            </w:r>
          </w:p>
        </w:tc>
        <w:tc>
          <w:tcPr>
            <w:tcW w:w="40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sz w:val="20"/>
                <w:lang w:eastAsia="zh-CN"/>
              </w:rPr>
            </w:pPr>
            <w:r>
              <w:rPr>
                <w:rFonts w:ascii="Times New Roman" w:hAnsi="Times New Roman"/>
                <w:sz w:val="20"/>
                <w:lang w:eastAsia="zh-CN"/>
              </w:rPr>
              <w:t>Comments if any</w:t>
            </w:r>
          </w:p>
        </w:tc>
      </w:tr>
      <w:tr>
        <w:trPr>
          <w:trHeight w:val="240"/>
        </w:trPr>
        <w:tc>
          <w:tcPr>
            <w:tcW w:w="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40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40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r>
      <w:tr>
        <w:trPr>
          <w:trHeight w:val="240"/>
        </w:trPr>
        <w:tc>
          <w:tcPr>
            <w:tcW w:w="96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c>
          <w:tcPr>
            <w:tcW w:w="403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eastAsia="zh-CN"/>
              </w:rPr>
            </w:pPr>
          </w:p>
        </w:tc>
      </w:tr>
    </w:tbl>
    <w:p>
      <w:pPr>
        <w:rPr>
          <w:lang w:eastAsia="zh-CN"/>
        </w:rPr>
      </w:pPr>
    </w:p>
    <w:p>
      <w:pPr>
        <w:pStyle w:val="1"/>
        <w:rPr>
          <w:lang w:eastAsia="zh-CN"/>
        </w:rPr>
      </w:pPr>
      <w:r>
        <w:rPr>
          <w:rFonts w:hint="eastAsia"/>
          <w:lang w:eastAsia="zh-CN"/>
        </w:rPr>
        <w:t>6 Conclusions</w:t>
      </w:r>
    </w:p>
    <w:p>
      <w:pPr>
        <w:rPr>
          <w:lang w:eastAsia="zh-CN"/>
        </w:rPr>
      </w:pPr>
      <w:r>
        <w:rPr>
          <w:rFonts w:hint="eastAsia"/>
          <w:shd w:val="pct15" w:color="auto" w:fill="FFFFFF"/>
          <w:lang w:eastAsia="zh-CN"/>
        </w:rPr>
        <w:t>TBD</w:t>
      </w:r>
    </w:p>
    <w:p>
      <w:pPr>
        <w:rPr>
          <w:lang w:eastAsia="zh-CN"/>
        </w:rPr>
      </w:pPr>
    </w:p>
    <w:p>
      <w:pPr>
        <w:rPr>
          <w:lang w:eastAsia="zh-CN"/>
        </w:rPr>
      </w:pPr>
    </w:p>
    <w:p>
      <w:pPr>
        <w:rPr>
          <w:lang w:eastAsia="zh-CN"/>
        </w:rPr>
      </w:pPr>
    </w:p>
    <w:p>
      <w:pPr>
        <w:pStyle w:val="1"/>
      </w:pPr>
      <w:r>
        <w:rPr>
          <w:rFonts w:hint="eastAsia"/>
          <w:lang w:eastAsia="zh-CN"/>
        </w:rPr>
        <w:t>7</w:t>
      </w:r>
      <w:r>
        <w:t xml:space="preserve"> Reference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r>
        <w:t>[31] Draft meeting report R2_119-e</w:t>
      </w:r>
    </w:p>
    <w:p/>
    <w:sectPr>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25E96"/>
    <w:lvl w:ilvl="0">
      <w:start w:val="1"/>
      <w:numFmt w:val="decimal"/>
      <w:lvlText w:val="%1."/>
      <w:lvlJc w:val="left"/>
      <w:pPr>
        <w:tabs>
          <w:tab w:val="num" w:pos="1492"/>
        </w:tabs>
        <w:ind w:left="1492" w:hanging="360"/>
      </w:pPr>
    </w:lvl>
  </w:abstractNum>
  <w:abstractNum w:abstractNumId="1">
    <w:nsid w:val="FFFFFF7D"/>
    <w:multiLevelType w:val="singleLevel"/>
    <w:tmpl w:val="36084AE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A38513D"/>
    <w:multiLevelType w:val="hybridMultilevel"/>
    <w:tmpl w:val="F9FE1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6797590"/>
    <w:multiLevelType w:val="hybridMultilevel"/>
    <w:tmpl w:val="CBC84516"/>
    <w:lvl w:ilvl="0" w:tplc="C1706E3C">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B45CB8"/>
    <w:multiLevelType w:val="hybridMultilevel"/>
    <w:tmpl w:val="919EC142"/>
    <w:lvl w:ilvl="0" w:tplc="C1706E3C">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9C91C13"/>
    <w:multiLevelType w:val="hybridMultilevel"/>
    <w:tmpl w:val="95E29C30"/>
    <w:lvl w:ilvl="0" w:tplc="695A214A">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5"/>
  </w:num>
  <w:num w:numId="18">
    <w:abstractNumId w:val="6"/>
  </w:num>
  <w:num w:numId="19">
    <w:abstractNumId w:val="4"/>
  </w:num>
  <w:num w:numId="20">
    <w:abstractNumId w:val="27"/>
  </w:num>
  <w:num w:numId="21">
    <w:abstractNumId w:val="11"/>
  </w:num>
  <w:num w:numId="22">
    <w:abstractNumId w:val="25"/>
  </w:num>
  <w:num w:numId="23">
    <w:abstractNumId w:val="22"/>
  </w:num>
  <w:num w:numId="24">
    <w:abstractNumId w:val="28"/>
  </w:num>
  <w:num w:numId="25">
    <w:abstractNumId w:val="26"/>
  </w:num>
  <w:num w:numId="26">
    <w:abstractNumId w:val="12"/>
  </w:num>
  <w:num w:numId="27">
    <w:abstractNumId w:val="23"/>
  </w:num>
  <w:num w:numId="28">
    <w:abstractNumId w:val="24"/>
  </w:num>
  <w:num w:numId="29">
    <w:abstractNumId w:val="7"/>
  </w:num>
  <w:num w:numId="30">
    <w:abstractNumId w:val="26"/>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zh-CN" w:vendorID="64" w:dllVersion="131077"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qFormat/>
    <w:pPr>
      <w:numPr>
        <w:numId w:val="3"/>
      </w:numPr>
      <w:tabs>
        <w:tab w:val="clear" w:pos="1304"/>
        <w:tab w:val="left" w:pos="1701"/>
      </w:tabs>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
    <w:name w:val="Unresolved Mention"/>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
    <w:name w:val="Grid Table 4 Accent 1"/>
    <w:basedOn w:val="a3"/>
    <w:uiPriority w:val="4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
    <w:name w:val="Grid Table 5 Dark Accent 1"/>
    <w:basedOn w:val="a3"/>
    <w:uiPriority w:val="5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
    <w:name w:val="Grid Table 4 Accent 5"/>
    <w:basedOn w:val="a3"/>
    <w:uiPriority w:val="49"/>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c">
    <w:name w:val="Revision"/>
    <w:hidden/>
    <w:uiPriority w:val="99"/>
    <w:semiHidden/>
    <w:rPr>
      <w:rFonts w:ascii="Times New Roman" w:hAnsi="Times New Roman"/>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qFormat/>
    <w:pPr>
      <w:numPr>
        <w:numId w:val="3"/>
      </w:numPr>
      <w:tabs>
        <w:tab w:val="clear" w:pos="1304"/>
        <w:tab w:val="left" w:pos="1701"/>
      </w:tabs>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
    <w:name w:val="Unresolved Mention"/>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
    <w:name w:val="Grid Table 4 Accent 1"/>
    <w:basedOn w:val="a3"/>
    <w:uiPriority w:val="4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
    <w:name w:val="Grid Table 5 Dark Accent 1"/>
    <w:basedOn w:val="a3"/>
    <w:uiPriority w:val="5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
    <w:name w:val="Grid Table 4 Accent 5"/>
    <w:basedOn w:val="a3"/>
    <w:uiPriority w:val="49"/>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afc">
    <w:name w:val="Revision"/>
    <w:hidden/>
    <w:uiPriority w:val="99"/>
    <w:semiHidden/>
    <w:rPr>
      <w:rFonts w:ascii="Times New Roman" w:hAnsi="Times New Roman"/>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2719</Words>
  <Characters>15502</Characters>
  <Application>Microsoft Office Word</Application>
  <DocSecurity>0</DocSecurity>
  <Lines>129</Lines>
  <Paragraphs>36</Paragraphs>
  <ScaleCrop>false</ScaleCrop>
  <LinksUpToDate>false</LinksUpToDate>
  <CharactersWithSpaces>18185</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2022-09-08T03:33:00Z</dcterms:created>
  <dcterms:modified xsi:type="dcterms:W3CDTF">2022-09-08T03:39:00Z</dcterms:modified>
</cp:coreProperties>
</file>