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8FA6" w14:textId="77777777" w:rsidR="001727B3" w:rsidRDefault="001727B3">
      <w:pPr>
        <w:pStyle w:val="Header"/>
      </w:pPr>
    </w:p>
    <w:p w14:paraId="2605AE45" w14:textId="77777777" w:rsidR="001727B3" w:rsidRDefault="00F91423">
      <w:pPr>
        <w:pStyle w:val="Header"/>
      </w:pPr>
      <w:r>
        <w:t>3GPP TSG-RAN WG2 Meeting #119-e</w:t>
      </w:r>
      <w:r>
        <w:tab/>
        <w:t>R2-22xxxxx</w:t>
      </w:r>
    </w:p>
    <w:p w14:paraId="42FB542C" w14:textId="77777777" w:rsidR="001727B3" w:rsidRDefault="00F91423">
      <w:pPr>
        <w:pStyle w:val="Header"/>
      </w:pPr>
      <w:r>
        <w:t>Online, 17-26 August 2022</w:t>
      </w:r>
    </w:p>
    <w:p w14:paraId="3ED90449" w14:textId="77777777" w:rsidR="001727B3" w:rsidRDefault="001727B3">
      <w:pPr>
        <w:pStyle w:val="Comments"/>
      </w:pPr>
    </w:p>
    <w:p w14:paraId="2686385E" w14:textId="77777777" w:rsidR="001727B3" w:rsidRDefault="00F91423">
      <w:pPr>
        <w:pStyle w:val="Header"/>
      </w:pPr>
      <w:r>
        <w:t xml:space="preserve">Source: </w:t>
      </w:r>
      <w:r>
        <w:tab/>
        <w:t>Huawei, HiSilicon</w:t>
      </w:r>
    </w:p>
    <w:p w14:paraId="062D2B72" w14:textId="77777777" w:rsidR="001727B3" w:rsidRDefault="00F91423">
      <w:pPr>
        <w:pStyle w:val="Header"/>
        <w:rPr>
          <w:lang w:val="en-GB"/>
        </w:rPr>
      </w:pPr>
      <w:r>
        <w:t>Title:</w:t>
      </w:r>
      <w:r>
        <w:tab/>
        <w:t>Summary of [POST119-e][302][Sdata] UP open issues and CR to 38.321 (Huawei)</w:t>
      </w:r>
    </w:p>
    <w:p w14:paraId="0DE857DC" w14:textId="77777777" w:rsidR="001727B3" w:rsidRDefault="00F91423">
      <w:pPr>
        <w:pStyle w:val="Heading1"/>
        <w:numPr>
          <w:ilvl w:val="0"/>
          <w:numId w:val="43"/>
        </w:numPr>
      </w:pPr>
      <w:r>
        <w:t>Issues for the CR</w:t>
      </w:r>
    </w:p>
    <w:p w14:paraId="257F432D" w14:textId="77777777" w:rsidR="001727B3" w:rsidRDefault="001727B3">
      <w:pPr>
        <w:pStyle w:val="Doc-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854"/>
        <w:gridCol w:w="2976"/>
        <w:gridCol w:w="3962"/>
      </w:tblGrid>
      <w:tr w:rsidR="001727B3" w14:paraId="2209CC76" w14:textId="77777777">
        <w:tc>
          <w:tcPr>
            <w:tcW w:w="1402" w:type="dxa"/>
          </w:tcPr>
          <w:p w14:paraId="1E40EE4A" w14:textId="77777777" w:rsidR="001727B3" w:rsidRDefault="00F91423"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 w:hint="eastAsia"/>
                <w:b/>
                <w:noProof/>
                <w:lang w:eastAsia="zh-CN"/>
              </w:rPr>
              <w:t>C</w:t>
            </w:r>
            <w:r>
              <w:rPr>
                <w:rFonts w:eastAsia="SimSun"/>
                <w:b/>
                <w:noProof/>
                <w:lang w:eastAsia="zh-CN"/>
              </w:rPr>
              <w:t>ompany</w:t>
            </w:r>
          </w:p>
        </w:tc>
        <w:tc>
          <w:tcPr>
            <w:tcW w:w="1854" w:type="dxa"/>
          </w:tcPr>
          <w:p w14:paraId="3C0257A9" w14:textId="77777777" w:rsidR="001727B3" w:rsidRDefault="00F91423"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 w:hint="eastAsia"/>
                <w:b/>
                <w:noProof/>
                <w:lang w:eastAsia="zh-CN"/>
              </w:rPr>
              <w:t>Change</w:t>
            </w:r>
            <w:r>
              <w:rPr>
                <w:rFonts w:eastAsia="SimSun"/>
                <w:b/>
                <w:noProof/>
                <w:lang w:eastAsia="zh-CN"/>
              </w:rPr>
              <w:t>1-17</w:t>
            </w:r>
          </w:p>
        </w:tc>
        <w:tc>
          <w:tcPr>
            <w:tcW w:w="2976" w:type="dxa"/>
          </w:tcPr>
          <w:p w14:paraId="40E9D2E0" w14:textId="77777777" w:rsidR="001727B3" w:rsidRDefault="00F91423"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/>
                <w:b/>
                <w:noProof/>
                <w:lang w:eastAsia="zh-CN"/>
              </w:rPr>
              <w:t>Issue in the Change</w:t>
            </w:r>
          </w:p>
        </w:tc>
        <w:tc>
          <w:tcPr>
            <w:tcW w:w="3962" w:type="dxa"/>
          </w:tcPr>
          <w:p w14:paraId="654BA51A" w14:textId="77777777" w:rsidR="001727B3" w:rsidRDefault="00F91423"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 w:hint="eastAsia"/>
                <w:b/>
                <w:noProof/>
                <w:lang w:eastAsia="zh-CN"/>
              </w:rPr>
              <w:t>P</w:t>
            </w:r>
            <w:r>
              <w:rPr>
                <w:rFonts w:eastAsia="SimSun"/>
                <w:b/>
                <w:noProof/>
                <w:lang w:eastAsia="zh-CN"/>
              </w:rPr>
              <w:t>ropose TP</w:t>
            </w:r>
          </w:p>
        </w:tc>
      </w:tr>
      <w:tr w:rsidR="001727B3" w14:paraId="3D48FCDA" w14:textId="77777777">
        <w:tc>
          <w:tcPr>
            <w:tcW w:w="1402" w:type="dxa"/>
          </w:tcPr>
          <w:p w14:paraId="6CF58190" w14:textId="77777777"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LG</w:t>
            </w:r>
          </w:p>
        </w:tc>
        <w:tc>
          <w:tcPr>
            <w:tcW w:w="1854" w:type="dxa"/>
          </w:tcPr>
          <w:p w14:paraId="21786215" w14:textId="77777777"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Change5</w:t>
            </w:r>
          </w:p>
        </w:tc>
        <w:tc>
          <w:tcPr>
            <w:tcW w:w="2976" w:type="dxa"/>
          </w:tcPr>
          <w:p w14:paraId="22578158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 think “if CG-SDT procedure is ongoing” and “if </w:t>
            </w:r>
            <w:r>
              <w:rPr>
                <w:iCs/>
                <w:color w:val="000000" w:themeColor="text1"/>
              </w:rPr>
              <w:t xml:space="preserve">cg-SDT-TimeAlignmentTimer </w:t>
            </w:r>
            <w:r>
              <w:rPr>
                <w:color w:val="000000" w:themeColor="text1"/>
              </w:rPr>
              <w:t xml:space="preserve">is running” are same conditions. </w:t>
            </w:r>
          </w:p>
          <w:p w14:paraId="64091FE0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proposed text may cause misunderstanding that there is a case when the CG-SDT procedure is ongoing but the cg-SDT-TimeAlignmentTimer is not running</w:t>
            </w:r>
          </w:p>
          <w:p w14:paraId="486FD3AD" w14:textId="77777777" w:rsidR="00BA5B49" w:rsidRDefault="00BA5B49" w:rsidP="00BA5B49">
            <w:pPr>
              <w:pStyle w:val="Doc-text2"/>
              <w:ind w:left="0" w:firstLine="720"/>
              <w:rPr>
                <w:color w:val="000000" w:themeColor="text1"/>
              </w:rPr>
            </w:pPr>
          </w:p>
          <w:p w14:paraId="1209CBE9" w14:textId="50BCD583" w:rsidR="00BA5B49" w:rsidRPr="00BA5B49" w:rsidRDefault="00BA5B49">
            <w:pPr>
              <w:pStyle w:val="Doc-text2"/>
              <w:ind w:left="0" w:firstLine="0"/>
              <w:rPr>
                <w:rFonts w:eastAsia="SimSun"/>
                <w:noProof/>
                <w:color w:val="00B050"/>
                <w:lang w:eastAsia="zh-CN"/>
              </w:rPr>
            </w:pPr>
            <w:r>
              <w:rPr>
                <w:color w:val="00B050"/>
              </w:rPr>
              <w:t>[Nokia] Agree.</w:t>
            </w:r>
          </w:p>
        </w:tc>
        <w:tc>
          <w:tcPr>
            <w:tcW w:w="3962" w:type="dxa"/>
          </w:tcPr>
          <w:p w14:paraId="1CE0734D" w14:textId="77777777"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 w:hint="eastAsia"/>
                <w:noProof/>
                <w:color w:val="000000" w:themeColor="text1"/>
                <w:lang w:eastAsia="zh-CN"/>
              </w:rPr>
              <w:t xml:space="preserve">Remove one of </w:t>
            </w:r>
            <w:r>
              <w:rPr>
                <w:rFonts w:eastAsia="SimSun"/>
                <w:noProof/>
                <w:color w:val="000000" w:themeColor="text1"/>
                <w:lang w:eastAsia="zh-CN"/>
              </w:rPr>
              <w:t>“CG-SDT procedure is ongoing” or “cg-SDT-TimeAlignmentTimer is running”. We slightly prefer to remove the second one.</w:t>
            </w:r>
          </w:p>
          <w:p w14:paraId="0018243F" w14:textId="77777777"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7B6B0BF3" w14:textId="77777777" w:rsidR="00BA5B49" w:rsidRDefault="00BA5B49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</w:p>
          <w:p w14:paraId="69B419A7" w14:textId="29692AB8" w:rsidR="00BA5B49" w:rsidRPr="00BA5B49" w:rsidRDefault="00BA5B49">
            <w:pPr>
              <w:pStyle w:val="Doc-text2"/>
              <w:ind w:left="0" w:firstLine="0"/>
            </w:pPr>
          </w:p>
        </w:tc>
      </w:tr>
      <w:tr w:rsidR="001727B3" w14:paraId="31E83114" w14:textId="77777777">
        <w:tc>
          <w:tcPr>
            <w:tcW w:w="1402" w:type="dxa"/>
          </w:tcPr>
          <w:p w14:paraId="3419013A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3E50D3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Change6</w:t>
            </w:r>
          </w:p>
        </w:tc>
        <w:tc>
          <w:tcPr>
            <w:tcW w:w="2976" w:type="dxa"/>
          </w:tcPr>
          <w:p w14:paraId="238AD38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 is not needed.</w:t>
            </w:r>
          </w:p>
          <w:p w14:paraId="12616A50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DC44B03" w14:textId="7E85DDDA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2E7E7DF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45B45330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 w:rsidR="001727B3" w14:paraId="35F09EDC" w14:textId="77777777">
        <w:tc>
          <w:tcPr>
            <w:tcW w:w="1402" w:type="dxa"/>
          </w:tcPr>
          <w:p w14:paraId="33AFA18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73D4D35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Change4</w:t>
            </w:r>
          </w:p>
        </w:tc>
        <w:tc>
          <w:tcPr>
            <w:tcW w:w="2976" w:type="dxa"/>
          </w:tcPr>
          <w:p w14:paraId="46BDABB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Same text as in Chang5 and Change6 is preferred.</w:t>
            </w:r>
          </w:p>
          <w:p w14:paraId="4FDD244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if there is an on-goi</w:t>
            </w: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g CG-SDT procedure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57CF1D2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757275C1" w14:textId="3F9DF26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431C76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 w:rsidR="001727B3" w14:paraId="5F38C73D" w14:textId="77777777">
        <w:tc>
          <w:tcPr>
            <w:tcW w:w="1402" w:type="dxa"/>
          </w:tcPr>
          <w:p w14:paraId="6B0B273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25EBC21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8</w:t>
            </w:r>
          </w:p>
        </w:tc>
        <w:tc>
          <w:tcPr>
            <w:tcW w:w="2976" w:type="dxa"/>
          </w:tcPr>
          <w:p w14:paraId="03005EFF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To simplify the change, the cg-</w:t>
            </w:r>
            <w:r>
              <w:rPr>
                <w:rFonts w:eastAsia="Malgun Gothic"/>
                <w:noProof/>
                <w:lang w:eastAsia="ko-KR"/>
              </w:rPr>
              <w:t>SDT-TAT can be added to the existing text. Then, new text can be removed. The retransmission is allowed only for initial CG-SDT transmission is clear from the procedure text.</w:t>
            </w:r>
          </w:p>
          <w:p w14:paraId="4D2D038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6081E237" w14:textId="216F2195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We prefer rapporteur’s new text to clarify this is only possible for re-tx of initial CG-SDT transmission.</w:t>
            </w:r>
          </w:p>
        </w:tc>
        <w:tc>
          <w:tcPr>
            <w:tcW w:w="3962" w:type="dxa"/>
          </w:tcPr>
          <w:p w14:paraId="71D04D77" w14:textId="77777777" w:rsidR="001727B3" w:rsidRDefault="00F91423"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Times New Roman"/>
                <w:noProof/>
                <w:lang w:eastAsia="ja-JP"/>
              </w:rPr>
              <w:t xml:space="preserve">“If </w:t>
            </w:r>
            <w:r>
              <w:rPr>
                <w:rFonts w:eastAsia="Times New Roman"/>
                <w:i/>
                <w:noProof/>
                <w:lang w:eastAsia="ko-KR"/>
              </w:rPr>
              <w:t>cg-RetransmissionTimer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 </w:t>
            </w:r>
            <w:ins w:id="0" w:author="seungjune.yi" w:date="2022-08-29T16:42:00Z">
              <w:r>
                <w:rPr>
                  <w:rFonts w:eastAsia="Times New Roman"/>
                  <w:noProof/>
                  <w:lang w:eastAsia="ko-KR"/>
                </w:rPr>
                <w:t xml:space="preserve">or </w:t>
              </w:r>
              <w:r>
                <w:rPr>
                  <w:rFonts w:eastAsia="Times New Roman"/>
                  <w:i/>
                  <w:noProof/>
                  <w:lang w:eastAsia="ko-KR"/>
                  <w:rPrChange w:id="1" w:author="seungjune.yi" w:date="2022-08-29T16:42:00Z">
                    <w:rPr>
                      <w:rFonts w:eastAsia="Times New Roman"/>
                      <w:noProof/>
                      <w:lang w:eastAsia="ko-KR"/>
                    </w:rPr>
                  </w:rPrChange>
                </w:rPr>
                <w:t>cg-SDT-RetransmissionTimer</w:t>
              </w:r>
              <w:r>
                <w:rPr>
                  <w:rFonts w:eastAsia="Times New Roman"/>
                  <w:noProof/>
                  <w:lang w:eastAsia="ko-KR"/>
                </w:rPr>
                <w:t xml:space="preserve"> </w:t>
              </w:r>
            </w:ins>
            <w:r>
              <w:rPr>
                <w:rFonts w:eastAsia="Times New Roman"/>
                <w:noProof/>
                <w:lang w:eastAsia="ja-JP"/>
              </w:rPr>
              <w:t>is configured,</w:t>
            </w:r>
            <w:r>
              <w:rPr>
                <w:rFonts w:eastAsia="Times New Roman"/>
                <w:noProof/>
                <w:lang w:eastAsia="ko-KR"/>
              </w:rPr>
              <w:t xml:space="preserve"> retransmissions with the same HARQ process may be performed on any configured grant configuration if the configured grant configurations have the same TBS</w:t>
            </w:r>
            <w:r>
              <w:rPr>
                <w:rFonts w:eastAsia="Times New Roman"/>
                <w:noProof/>
                <w:lang w:eastAsia="ja-JP"/>
              </w:rPr>
              <w:t>.”</w:t>
            </w:r>
          </w:p>
        </w:tc>
      </w:tr>
      <w:tr w:rsidR="001727B3" w14:paraId="07B32139" w14:textId="77777777">
        <w:tc>
          <w:tcPr>
            <w:tcW w:w="1402" w:type="dxa"/>
          </w:tcPr>
          <w:p w14:paraId="2040567D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5F42BF64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13</w:t>
            </w:r>
          </w:p>
        </w:tc>
        <w:tc>
          <w:tcPr>
            <w:tcW w:w="2976" w:type="dxa"/>
          </w:tcPr>
          <w:p w14:paraId="1773BE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think</w:t>
            </w:r>
            <w:r>
              <w:rPr>
                <w:rFonts w:eastAsia="Malgun Gothic"/>
                <w:noProof/>
                <w:lang w:eastAsia="ko-KR"/>
              </w:rPr>
              <w:t xml:space="preserve"> 8356 like change is better because the logicalChannelSR-DelayTimeer itself is a timer used for SDT.</w:t>
            </w:r>
          </w:p>
          <w:p w14:paraId="435D2F8D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1EB55232" w14:textId="60B32757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 xml:space="preserve">[Nokia] We would be OK with this approach as well, however, that will require </w:t>
            </w:r>
            <w:r>
              <w:rPr>
                <w:rFonts w:eastAsia="Malgun Gothic"/>
                <w:noProof/>
                <w:color w:val="00B050"/>
                <w:lang w:eastAsia="ko-KR"/>
              </w:rPr>
              <w:lastRenderedPageBreak/>
              <w:t xml:space="preserve">changes 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also </w:t>
            </w:r>
            <w:r>
              <w:rPr>
                <w:rFonts w:eastAsia="Malgun Gothic"/>
                <w:noProof/>
                <w:color w:val="00B050"/>
                <w:lang w:eastAsia="ko-KR"/>
              </w:rPr>
              <w:t>in the SR triggering part.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 So rapporteur’s proposal could be simpler.</w:t>
            </w:r>
          </w:p>
        </w:tc>
        <w:tc>
          <w:tcPr>
            <w:tcW w:w="3962" w:type="dxa"/>
          </w:tcPr>
          <w:p w14:paraId="2D1F0D1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Suggest 8356 like change.</w:t>
            </w:r>
          </w:p>
          <w:p w14:paraId="1B46561F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else if BSR is triggered for a logical channel for which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logicalChannelSR-DelayTimerApplied</w:t>
            </w:r>
            <w:r>
              <w:rPr>
                <w:rFonts w:eastAsia="Times New Roman"/>
                <w:noProof/>
                <w:lang w:eastAsia="ko-KR"/>
              </w:rPr>
              <w:t xml:space="preserve"> with value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true</w:t>
            </w:r>
            <w:r>
              <w:rPr>
                <w:rFonts w:eastAsia="Times New Roman"/>
                <w:noProof/>
                <w:lang w:eastAsia="ko-KR"/>
              </w:rPr>
              <w:t xml:space="preserve"> is configured by upper layers and SDT procedure is on-going according to clause 5.27:</w:t>
            </w:r>
          </w:p>
          <w:p w14:paraId="74629529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lastRenderedPageBreak/>
              <w:t>2&gt;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start or restart </w:t>
            </w:r>
            <w:del w:id="2" w:author="seungjune.yi" w:date="2022-08-29T16:51:00Z">
              <w:r>
                <w:rPr>
                  <w:i/>
                  <w:iCs/>
                  <w:noProof/>
                  <w:lang w:eastAsia="ko-KR"/>
                </w:rPr>
                <w:delText>logicalChannelSR-DelayTimer</w:delText>
              </w:r>
              <w:r>
                <w:rPr>
                  <w:noProof/>
                  <w:lang w:eastAsia="ko-KR"/>
                </w:rPr>
                <w:delText xml:space="preserve"> with the value as configured by</w:delText>
              </w:r>
              <w:r>
                <w:rPr>
                  <w:rFonts w:eastAsia="Times New Roman"/>
                  <w:noProof/>
                  <w:lang w:eastAsia="ko-KR"/>
                </w:rPr>
                <w:delText xml:space="preserve"> </w:delText>
              </w:r>
            </w:del>
            <w:r>
              <w:rPr>
                <w:rFonts w:eastAsia="Times New Roman"/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sdt-LogicalChannelSR-DelayTimer</w:t>
            </w:r>
            <w:r>
              <w:rPr>
                <w:rFonts w:eastAsia="Times New Roman"/>
                <w:noProof/>
                <w:lang w:eastAsia="ko-KR"/>
              </w:rPr>
              <w:t>.</w:t>
            </w:r>
          </w:p>
          <w:p w14:paraId="0501450D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ja-JP"/>
              </w:rPr>
              <w:tab/>
              <w:t>else:</w:t>
            </w:r>
          </w:p>
          <w:p w14:paraId="1CC2C0A4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3" w:author="seungjune.yi" w:date="2022-08-29T16:51:00Z"/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ja-JP"/>
              </w:rPr>
              <w:tab/>
              <w:t xml:space="preserve">if running, stop the </w:t>
            </w:r>
            <w:r>
              <w:rPr>
                <w:rFonts w:eastAsia="Times New Roman"/>
                <w:i/>
                <w:noProof/>
                <w:lang w:eastAsia="ja-JP"/>
              </w:rPr>
              <w:t>logicalChannelSR-DelayTimer</w:t>
            </w:r>
            <w:r>
              <w:rPr>
                <w:rFonts w:eastAsia="Times New Roman"/>
                <w:noProof/>
                <w:lang w:eastAsia="ja-JP"/>
              </w:rPr>
              <w:t>.</w:t>
            </w:r>
          </w:p>
          <w:p w14:paraId="766520E7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4" w:author="seungjune.yi" w:date="2022-08-29T16:51:00Z"/>
                <w:rFonts w:eastAsia="Times New Roman"/>
                <w:noProof/>
                <w:lang w:eastAsia="ja-JP"/>
              </w:rPr>
            </w:pPr>
            <w:ins w:id="5" w:author="seungjune.yi" w:date="2022-08-29T16:51:00Z">
              <w:r>
                <w:rPr>
                  <w:rFonts w:eastAsia="Times New Roman"/>
                  <w:noProof/>
                  <w:lang w:eastAsia="ko-KR"/>
                </w:rPr>
                <w:t>2&gt;</w:t>
              </w:r>
              <w:r>
                <w:rPr>
                  <w:rFonts w:eastAsia="Times New Roman"/>
                  <w:noProof/>
                  <w:lang w:eastAsia="ja-JP"/>
                </w:rPr>
                <w:tab/>
                <w:t xml:space="preserve">if running, stop the </w:t>
              </w:r>
              <w:r>
                <w:rPr>
                  <w:rFonts w:eastAsia="Times New Roman"/>
                  <w:i/>
                  <w:noProof/>
                  <w:lang w:eastAsia="ja-JP"/>
                </w:rPr>
                <w:t>sdt-LogicalChannelSR-DelayTimer</w:t>
              </w:r>
              <w:r>
                <w:rPr>
                  <w:rFonts w:eastAsia="Times New Roman"/>
                  <w:noProof/>
                  <w:lang w:eastAsia="ko-KR"/>
                </w:rPr>
                <w:t>.</w:t>
              </w:r>
            </w:ins>
          </w:p>
          <w:p w14:paraId="20AC2925" w14:textId="77777777" w:rsidR="001727B3" w:rsidRDefault="001727B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</w:tc>
      </w:tr>
      <w:tr w:rsidR="001727B3" w14:paraId="6133CAD2" w14:textId="77777777">
        <w:tc>
          <w:tcPr>
            <w:tcW w:w="1402" w:type="dxa"/>
          </w:tcPr>
          <w:p w14:paraId="7E0E44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LG</w:t>
            </w:r>
          </w:p>
        </w:tc>
        <w:tc>
          <w:tcPr>
            <w:tcW w:w="1854" w:type="dxa"/>
          </w:tcPr>
          <w:p w14:paraId="046E5B5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Change10</w:t>
            </w:r>
          </w:p>
        </w:tc>
        <w:tc>
          <w:tcPr>
            <w:tcW w:w="2976" w:type="dxa"/>
          </w:tcPr>
          <w:p w14:paraId="18B23FF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“if configured” is redundant.</w:t>
            </w:r>
          </w:p>
        </w:tc>
        <w:tc>
          <w:tcPr>
            <w:tcW w:w="3962" w:type="dxa"/>
          </w:tcPr>
          <w:p w14:paraId="094CC525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“if configured”.</w:t>
            </w:r>
          </w:p>
        </w:tc>
      </w:tr>
      <w:tr w:rsidR="001727B3" w14:paraId="28943FED" w14:textId="77777777">
        <w:tc>
          <w:tcPr>
            <w:tcW w:w="1402" w:type="dxa"/>
          </w:tcPr>
          <w:p w14:paraId="1AF8C4D7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54A42AD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Change14</w:t>
            </w:r>
          </w:p>
        </w:tc>
        <w:tc>
          <w:tcPr>
            <w:tcW w:w="2976" w:type="dxa"/>
          </w:tcPr>
          <w:p w14:paraId="1A58C7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don</w:t>
            </w:r>
            <w:r>
              <w:rPr>
                <w:rFonts w:eastAsia="Malgun Gothic"/>
                <w:noProof/>
                <w:lang w:eastAsia="ko-KR"/>
              </w:rPr>
              <w:t>’t see the need to add “if CG-SDT-TAT is running”. What’s the problem with considering the CG-SDT-TAT expired even if it is not running?</w:t>
            </w:r>
          </w:p>
          <w:p w14:paraId="0570080C" w14:textId="77777777" w:rsidR="0037570D" w:rsidRDefault="0037570D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90B9567" w14:textId="08226525" w:rsidR="0037570D" w:rsidRPr="0037570D" w:rsidRDefault="0037570D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0C6F6577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Undo the change.</w:t>
            </w:r>
          </w:p>
        </w:tc>
      </w:tr>
      <w:tr w:rsidR="001A1BB8" w14:paraId="7026DEAC" w14:textId="77777777">
        <w:tc>
          <w:tcPr>
            <w:tcW w:w="1402" w:type="dxa"/>
          </w:tcPr>
          <w:p w14:paraId="5A653BB1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Xiaomi</w:t>
            </w:r>
          </w:p>
        </w:tc>
        <w:tc>
          <w:tcPr>
            <w:tcW w:w="1854" w:type="dxa"/>
          </w:tcPr>
          <w:p w14:paraId="78AFD1E9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0C14C4F8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>
              <w:rPr>
                <w:rFonts w:eastAsia="Times New Roman"/>
                <w:noProof/>
                <w:lang w:eastAsia="ko-KR"/>
              </w:rPr>
              <w:t>he HARQ process</w:t>
            </w:r>
            <w:r>
              <w:rPr>
                <w:rFonts w:eastAsia="Malgun Gothic"/>
                <w:noProof/>
                <w:lang w:eastAsia="ko-KR"/>
              </w:rPr>
              <w:t>” is not clear</w:t>
            </w:r>
            <w:r w:rsidR="001E38A6">
              <w:rPr>
                <w:rFonts w:eastAsia="Malgun Gothic"/>
                <w:noProof/>
                <w:lang w:eastAsia="ko-KR"/>
              </w:rPr>
              <w:t>, as the sentence does not mention whether “</w:t>
            </w:r>
            <w:r w:rsidR="001E38A6">
              <w:rPr>
                <w:rFonts w:eastAsia="Times New Roman"/>
                <w:noProof/>
                <w:lang w:eastAsia="ko-KR"/>
              </w:rPr>
              <w:t>the initial CG-SDT transmission for CCCH message</w:t>
            </w:r>
            <w:r w:rsidR="001E38A6">
              <w:rPr>
                <w:rFonts w:eastAsia="Malgun Gothic"/>
                <w:noProof/>
                <w:lang w:eastAsia="ko-KR"/>
              </w:rPr>
              <w:t>” is included in 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 w:rsidR="001E38A6">
              <w:rPr>
                <w:rFonts w:eastAsia="Times New Roman"/>
                <w:noProof/>
                <w:lang w:eastAsia="ko-KR"/>
              </w:rPr>
              <w:t>he HARQ process</w:t>
            </w:r>
            <w:r w:rsidR="001E38A6">
              <w:rPr>
                <w:rFonts w:eastAsia="Malgun Gothic"/>
                <w:noProof/>
                <w:lang w:eastAsia="ko-KR"/>
              </w:rPr>
              <w:t>”</w:t>
            </w:r>
            <w:r>
              <w:rPr>
                <w:rFonts w:eastAsia="Malgun Gothic"/>
                <w:noProof/>
                <w:lang w:eastAsia="ko-KR"/>
              </w:rPr>
              <w:t>.</w:t>
            </w:r>
          </w:p>
        </w:tc>
        <w:tc>
          <w:tcPr>
            <w:tcW w:w="3962" w:type="dxa"/>
          </w:tcPr>
          <w:p w14:paraId="13D5122C" w14:textId="77777777" w:rsidR="001A1BB8" w:rsidRDefault="00C76C8C" w:rsidP="00C76C8C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algun Gothic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for CCCH message when the UE shall not autonomously retransmit </w:t>
            </w:r>
            <w:ins w:id="6" w:author="Xiaomi - Yumin Wu" w:date="2022-08-31T14:28:00Z">
              <w:r>
                <w:rPr>
                  <w:rFonts w:eastAsia="Times New Roman"/>
                  <w:noProof/>
                  <w:lang w:eastAsia="ko-KR"/>
                </w:rPr>
                <w:t>the initial CG-SDT transmission for CCCH message</w:t>
              </w:r>
            </w:ins>
            <w:del w:id="7" w:author="Xiaomi - Yumin Wu" w:date="2022-08-31T14:28:00Z">
              <w:r w:rsidDel="00C76C8C">
                <w:rPr>
                  <w:rFonts w:eastAsia="Times New Roman"/>
                  <w:noProof/>
                  <w:lang w:eastAsia="ko-KR"/>
                </w:rPr>
                <w:delText>the HARQ process</w:delText>
              </w:r>
            </w:del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</w:tc>
      </w:tr>
      <w:tr w:rsidR="00E53AAA" w14:paraId="40E3FDDE" w14:textId="77777777">
        <w:tc>
          <w:tcPr>
            <w:tcW w:w="1402" w:type="dxa"/>
          </w:tcPr>
          <w:p w14:paraId="6D1C8B2A" w14:textId="6D193187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Nokia</w:t>
            </w:r>
          </w:p>
        </w:tc>
        <w:tc>
          <w:tcPr>
            <w:tcW w:w="1854" w:type="dxa"/>
          </w:tcPr>
          <w:p w14:paraId="7B13BA46" w14:textId="23B28B54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3EDDFE8C" w14:textId="55B0D294" w:rsidR="00E53AAA" w:rsidRDefault="007D4887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 xml:space="preserve">Additional “of a HARQ process” as in the </w:t>
            </w:r>
            <w:r w:rsidR="0037570D">
              <w:rPr>
                <w:rFonts w:eastAsia="Malgun Gothic"/>
                <w:noProof/>
                <w:lang w:eastAsia="ko-KR"/>
              </w:rPr>
              <w:t xml:space="preserve">original timer text </w:t>
            </w:r>
            <w:r>
              <w:rPr>
                <w:rFonts w:eastAsia="Malgun Gothic"/>
                <w:noProof/>
                <w:lang w:eastAsia="ko-KR"/>
              </w:rPr>
              <w:t>should be added to make the sentence clear.</w:t>
            </w:r>
          </w:p>
        </w:tc>
        <w:tc>
          <w:tcPr>
            <w:tcW w:w="3962" w:type="dxa"/>
          </w:tcPr>
          <w:p w14:paraId="657B2915" w14:textId="3F62F942" w:rsidR="00E53AAA" w:rsidRDefault="007D4887" w:rsidP="007D488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</w:t>
            </w:r>
            <w:r w:rsidRPr="007D4887">
              <w:rPr>
                <w:rFonts w:eastAsia="Times New Roman"/>
                <w:noProof/>
                <w:color w:val="00B050"/>
                <w:lang w:eastAsia="ko-KR"/>
              </w:rPr>
              <w:t xml:space="preserve">of a HARQ process </w:t>
            </w:r>
            <w:r>
              <w:rPr>
                <w:rFonts w:eastAsia="Times New Roman"/>
                <w:noProof/>
                <w:lang w:eastAsia="ko-KR"/>
              </w:rPr>
              <w:t>of the initial CG-SDT transmission for CCCH message when the UE shall not autonomously retransmit the HARQ process</w:t>
            </w:r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</w:tc>
      </w:tr>
    </w:tbl>
    <w:p w14:paraId="1E3971A2" w14:textId="77777777" w:rsidR="001727B3" w:rsidRDefault="001727B3">
      <w:pPr>
        <w:pStyle w:val="Doc-text2"/>
        <w:ind w:left="0" w:firstLine="0"/>
        <w:rPr>
          <w:noProof/>
        </w:rPr>
      </w:pPr>
    </w:p>
    <w:p w14:paraId="1CC92527" w14:textId="77777777" w:rsidR="001727B3" w:rsidRDefault="00F91423">
      <w:pPr>
        <w:pStyle w:val="Heading1"/>
        <w:numPr>
          <w:ilvl w:val="0"/>
          <w:numId w:val="43"/>
        </w:numPr>
      </w:pPr>
      <w:r>
        <w:t>Summary</w:t>
      </w:r>
    </w:p>
    <w:p w14:paraId="6BA2FFB7" w14:textId="77777777" w:rsidR="001727B3" w:rsidRDefault="001727B3">
      <w:pPr>
        <w:pStyle w:val="Doc-text2"/>
        <w:ind w:left="0" w:firstLine="0"/>
      </w:pPr>
    </w:p>
    <w:p w14:paraId="6738F24F" w14:textId="77777777" w:rsidR="001727B3" w:rsidRDefault="001727B3">
      <w:pPr>
        <w:pStyle w:val="EmailDiscussion2"/>
      </w:pPr>
    </w:p>
    <w:p w14:paraId="0EB4B105" w14:textId="77777777" w:rsidR="001727B3" w:rsidRDefault="001727B3">
      <w:pPr>
        <w:pStyle w:val="Doc-text2"/>
      </w:pPr>
    </w:p>
    <w:p w14:paraId="44F7CB02" w14:textId="77777777" w:rsidR="001727B3" w:rsidRDefault="001727B3">
      <w:pPr>
        <w:pStyle w:val="Doc-text2"/>
      </w:pPr>
    </w:p>
    <w:p w14:paraId="7133DC6C" w14:textId="77777777" w:rsidR="001727B3" w:rsidRDefault="001727B3">
      <w:pPr>
        <w:pStyle w:val="Doc-text2"/>
      </w:pPr>
    </w:p>
    <w:sectPr w:rsidR="001727B3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61E2" w14:textId="77777777" w:rsidR="003B2E59" w:rsidRDefault="003B2E59">
      <w:r>
        <w:separator/>
      </w:r>
    </w:p>
    <w:p w14:paraId="41F5E9A0" w14:textId="77777777" w:rsidR="003B2E59" w:rsidRDefault="003B2E59"/>
  </w:endnote>
  <w:endnote w:type="continuationSeparator" w:id="0">
    <w:p w14:paraId="1F0E559C" w14:textId="77777777" w:rsidR="003B2E59" w:rsidRDefault="003B2E59">
      <w:r>
        <w:continuationSeparator/>
      </w:r>
    </w:p>
    <w:p w14:paraId="03F6FDB2" w14:textId="77777777" w:rsidR="003B2E59" w:rsidRDefault="003B2E59"/>
  </w:endnote>
  <w:endnote w:type="continuationNotice" w:id="1">
    <w:p w14:paraId="066D3D40" w14:textId="77777777" w:rsidR="003B2E59" w:rsidRDefault="003B2E5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A978" w14:textId="77777777" w:rsidR="001727B3" w:rsidRDefault="00F9142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B747FF" w14:textId="77777777" w:rsidR="001727B3" w:rsidRDefault="001727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5B5B" w14:textId="77777777" w:rsidR="003B2E59" w:rsidRDefault="003B2E59">
      <w:r>
        <w:separator/>
      </w:r>
    </w:p>
    <w:p w14:paraId="439C78CA" w14:textId="77777777" w:rsidR="003B2E59" w:rsidRDefault="003B2E59"/>
  </w:footnote>
  <w:footnote w:type="continuationSeparator" w:id="0">
    <w:p w14:paraId="057DB858" w14:textId="77777777" w:rsidR="003B2E59" w:rsidRDefault="003B2E59">
      <w:r>
        <w:continuationSeparator/>
      </w:r>
    </w:p>
    <w:p w14:paraId="4315C363" w14:textId="77777777" w:rsidR="003B2E59" w:rsidRDefault="003B2E59"/>
  </w:footnote>
  <w:footnote w:type="continuationNotice" w:id="1">
    <w:p w14:paraId="4A7DBBCB" w14:textId="77777777" w:rsidR="003B2E59" w:rsidRDefault="003B2E5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5777"/>
    <w:multiLevelType w:val="hybridMultilevel"/>
    <w:tmpl w:val="79F64102"/>
    <w:lvl w:ilvl="0" w:tplc="41F817E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0D15"/>
    <w:multiLevelType w:val="hybridMultilevel"/>
    <w:tmpl w:val="03FE9454"/>
    <w:lvl w:ilvl="0" w:tplc="18A61C24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B2C12"/>
    <w:multiLevelType w:val="hybridMultilevel"/>
    <w:tmpl w:val="3FDE8F7A"/>
    <w:lvl w:ilvl="0" w:tplc="B8426A66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8AD"/>
    <w:multiLevelType w:val="hybridMultilevel"/>
    <w:tmpl w:val="C0B0CD14"/>
    <w:lvl w:ilvl="0" w:tplc="DCBA4F9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7C07ECA"/>
    <w:multiLevelType w:val="hybridMultilevel"/>
    <w:tmpl w:val="E0CA2CD6"/>
    <w:lvl w:ilvl="0" w:tplc="45EA773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A64E97"/>
    <w:multiLevelType w:val="hybridMultilevel"/>
    <w:tmpl w:val="A7B423D8"/>
    <w:lvl w:ilvl="0" w:tplc="1C3C9F5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6F13664"/>
    <w:multiLevelType w:val="hybridMultilevel"/>
    <w:tmpl w:val="4AD8C91A"/>
    <w:lvl w:ilvl="0" w:tplc="674C28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13"/>
  </w:num>
  <w:num w:numId="4">
    <w:abstractNumId w:val="41"/>
  </w:num>
  <w:num w:numId="5">
    <w:abstractNumId w:val="27"/>
  </w:num>
  <w:num w:numId="6">
    <w:abstractNumId w:val="0"/>
  </w:num>
  <w:num w:numId="7">
    <w:abstractNumId w:val="28"/>
  </w:num>
  <w:num w:numId="8">
    <w:abstractNumId w:val="23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  <w:num w:numId="13">
    <w:abstractNumId w:val="31"/>
  </w:num>
  <w:num w:numId="14">
    <w:abstractNumId w:val="34"/>
  </w:num>
  <w:num w:numId="15">
    <w:abstractNumId w:val="21"/>
  </w:num>
  <w:num w:numId="16">
    <w:abstractNumId w:val="29"/>
  </w:num>
  <w:num w:numId="17">
    <w:abstractNumId w:val="17"/>
  </w:num>
  <w:num w:numId="18">
    <w:abstractNumId w:val="20"/>
  </w:num>
  <w:num w:numId="19">
    <w:abstractNumId w:val="7"/>
  </w:num>
  <w:num w:numId="20">
    <w:abstractNumId w:val="14"/>
  </w:num>
  <w:num w:numId="21">
    <w:abstractNumId w:val="38"/>
  </w:num>
  <w:num w:numId="22">
    <w:abstractNumId w:val="22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6"/>
  </w:num>
  <w:num w:numId="28">
    <w:abstractNumId w:val="36"/>
  </w:num>
  <w:num w:numId="29">
    <w:abstractNumId w:val="30"/>
  </w:num>
  <w:num w:numId="30">
    <w:abstractNumId w:val="33"/>
  </w:num>
  <w:num w:numId="31">
    <w:abstractNumId w:val="1"/>
  </w:num>
  <w:num w:numId="32">
    <w:abstractNumId w:val="39"/>
  </w:num>
  <w:num w:numId="33">
    <w:abstractNumId w:val="5"/>
  </w:num>
  <w:num w:numId="34">
    <w:abstractNumId w:val="37"/>
  </w:num>
  <w:num w:numId="35">
    <w:abstractNumId w:val="16"/>
  </w:num>
  <w:num w:numId="36">
    <w:abstractNumId w:val="4"/>
  </w:num>
  <w:num w:numId="37">
    <w:abstractNumId w:val="12"/>
  </w:num>
  <w:num w:numId="38">
    <w:abstractNumId w:val="8"/>
  </w:num>
  <w:num w:numId="39">
    <w:abstractNumId w:val="15"/>
  </w:num>
  <w:num w:numId="40">
    <w:abstractNumId w:val="24"/>
  </w:num>
  <w:num w:numId="41">
    <w:abstractNumId w:val="19"/>
  </w:num>
  <w:num w:numId="42">
    <w:abstractNumId w:val="16"/>
  </w:num>
  <w:num w:numId="43">
    <w:abstractNumId w:val="3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ungjune.yi">
    <w15:presenceInfo w15:providerId="None" w15:userId="seungjune.yi"/>
  </w15:person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fr-CA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1727B3"/>
    <w:rsid w:val="001727B3"/>
    <w:rsid w:val="001A1BB8"/>
    <w:rsid w:val="001E38A6"/>
    <w:rsid w:val="002D0529"/>
    <w:rsid w:val="0037570D"/>
    <w:rsid w:val="003B2E59"/>
    <w:rsid w:val="007D4887"/>
    <w:rsid w:val="008F6FC9"/>
    <w:rsid w:val="00BA5B49"/>
    <w:rsid w:val="00C76C8C"/>
    <w:rsid w:val="00E53AAA"/>
    <w:rsid w:val="00F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BB1D9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52F3B-E124-479E-8B7F-D05BC9CF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 inc.</Company>
  <LinksUpToDate>false</LinksUpToDate>
  <CharactersWithSpaces>3402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Nokia (Samuli)</cp:lastModifiedBy>
  <cp:revision>3</cp:revision>
  <cp:lastPrinted>2019-04-30T12:04:00Z</cp:lastPrinted>
  <dcterms:created xsi:type="dcterms:W3CDTF">2022-08-31T08:10:00Z</dcterms:created>
  <dcterms:modified xsi:type="dcterms:W3CDTF">2022-08-31T08:36:00Z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_2015_ms_pID_725343">
    <vt:lpwstr>(2)RFWry8RVe+hg8V4c8gcKZSF5aXOPVMKLruU9+pNqZxDCbvdTHCK/2LAoQxQ7KpIA0ULm8iY9
Wu9O0Xjsre3WhI/Rbzc1uHfjl52SdoFo0tuNSJ0v/n4lkHwssVJaDrMMEIr190Rfwb51ywFP
h6M6pSY4Aqqq24FZDm2Ce6BTAl9syibZ5+IaiW8AKEBXAdRhXZ3fF0gCFaJpTtFhmCl/TUjY
EJZCr/uElAlYJ0bSpI</vt:lpwstr>
  </property>
  <property fmtid="{D5CDD505-2E9C-101B-9397-08002B2CF9AE}" pid="13" name="_2015_ms_pID_7253431">
    <vt:lpwstr>skmDvyOlW4MFJGp2d2zN2dxXt/mpi83ebifmkp739oh5F+hcPJDlVj
DIBCjhJ7eo2BDIErXrei3bt0Udv/hCBTDgw2uMXNsDfrOf2qqeMdmCN8G7ho8pd4/Itc/O+8
8dUcgbIgX2p9/eG4P9+rk4P9udCWv74c0Op5Ga7oDhBLpzcFCGkp3nkcvGMBbdyGuaEqBr1k
SGAJyeVKD1/8CE28</vt:lpwstr>
  </property>
</Properties>
</file>