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r>
        <w:rPr>
          <w:sz w:val="22"/>
          <w:szCs w:val="22"/>
          <w:highlight w:val="yellow"/>
        </w:rPr>
        <w:t>x.x.x</w:t>
      </w:r>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[Post119-e][048][feMob]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[Post119-e][048][feMob]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23th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r>
              <w:t>InterDigital</w:t>
            </w:r>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Huawei, HiSilicon</w:t>
            </w:r>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 Yiu</w:t>
            </w:r>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 Futaki</w:t>
            </w:r>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isashi.futaki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Mengjie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Seungri Jin</w:t>
            </w:r>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K</w:t>
            </w:r>
            <w:r>
              <w:rPr>
                <w:rFonts w:eastAsia="Yu Mincho"/>
                <w:lang w:eastAsia="ja-JP"/>
              </w:rPr>
              <w:t>yosuke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akako Sanda</w:t>
            </w:r>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val="en-US" w:eastAsia="ja-JP"/>
              </w:rPr>
              <w:t>sanda.takako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S</w:t>
            </w:r>
            <w:r>
              <w:rPr>
                <w:rFonts w:eastAsia="Yu Mincho"/>
                <w:lang w:eastAsia="ja-JP"/>
              </w:rPr>
              <w:t>ouki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hint="eastAsia"/>
                <w:lang w:eastAsia="ja-JP"/>
              </w:rPr>
            </w:pPr>
            <w:r>
              <w:rPr>
                <w:rFonts w:eastAsia="Yu Mincho" w:hint="eastAsia"/>
                <w:lang w:eastAsia="ja-JP"/>
              </w:rPr>
              <w:t>ASUSTeK</w:t>
            </w:r>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hint="eastAsia"/>
                <w:lang w:eastAsia="ja-JP"/>
              </w:rPr>
              <w:t>Xinra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bookmarkStart w:id="0" w:name="_GoBack"/>
            <w:bookmarkEnd w:id="0"/>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1" w:name="_Ref178064866"/>
      <w:r>
        <w:t>3</w:t>
      </w:r>
      <w:r>
        <w:tab/>
        <w:t>Discussion</w:t>
      </w:r>
      <w:bookmarkEnd w:id="1"/>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he abovementioned aspects are important. Regarding configuration flexibility, we think it should consider not only the flexibility of candidate configurations, but also the flexibility or 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lastRenderedPageBreak/>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r>
              <w:lastRenderedPageBreak/>
              <w:t>InterDigital</w:t>
            </w:r>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Huawei, HiSilicon</w:t>
            </w:r>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Yes for scenarios;</w:t>
            </w:r>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"Complexity" is vague;</w:t>
            </w:r>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So it would be better to explain what exactly this question means? These are all normal design goals but are not that useful in email discussion question. Of course we do agree that complexity (in terms of implementation and </w:t>
            </w:r>
            <w:bookmarkStart w:id="2" w:name="OLE_LINK15"/>
            <w:bookmarkStart w:id="3" w:name="OLE_LINK16"/>
            <w:r>
              <w:t>standardization</w:t>
            </w:r>
            <w:bookmarkEnd w:id="2"/>
            <w:bookmarkEnd w:id="3"/>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general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Impact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 xml:space="preserve">to also consider the case that switching the role of a cell between spCell and scell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think these are important aspects in general, while there could be a trade-off between the bullets, e.g.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but those are not perfect for the decision because some aspects are conflict for making the model e.g.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In addition, resource reservation may be considered, e.g.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take into account like maintenance, applicability, etc. </w:t>
            </w:r>
          </w:p>
        </w:tc>
      </w:tr>
      <w:tr w:rsidR="00D059BC" w14:paraId="692E3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I am wondering if harmonization of RRC modeling with selective activation should be taken into account.</w:t>
            </w:r>
          </w:p>
        </w:tc>
      </w:tr>
      <w:tr w:rsidR="008830B6" w14:paraId="68C340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rFonts w:hint="eastAsia"/>
                <w:lang w:val="en-US" w:eastAsia="zh-TW"/>
              </w:rPr>
            </w:pPr>
            <w:r>
              <w:rPr>
                <w:rFonts w:hint="eastAsia"/>
                <w:lang w:eastAsia="zh-TW"/>
              </w:rPr>
              <w:t>A</w:t>
            </w:r>
            <w:r>
              <w:rPr>
                <w:lang w:eastAsia="zh-TW"/>
              </w:rPr>
              <w:t>SUSTeK</w:t>
            </w:r>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r>
        <w:rPr>
          <w:i/>
          <w:iCs/>
        </w:rPr>
        <w:t>RRCReconfiguration</w:t>
      </w:r>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r>
        <w:rPr>
          <w:i/>
          <w:iCs/>
        </w:rPr>
        <w:t>RRCReconfiguration</w:t>
      </w:r>
      <w:r>
        <w:t xml:space="preserve"> message) 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lastRenderedPageBreak/>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r>
              <w:t>InterDigital</w:t>
            </w:r>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UE will receive multiple candidate configurations, and L1/2 signalling is used to trigger the reconfiguration to one (or potentially more, in case of SpCell + SCell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Huawei, HiSilicon</w:t>
            </w:r>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(i.e.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Broadly speaking, we agree this is the primary mechanism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What exactly is configured by RRC (i.e.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Generally</w:t>
            </w:r>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w:t>
            </w:r>
            <w:r>
              <w:rPr>
                <w:rFonts w:eastAsiaTheme="minorEastAsia"/>
              </w:rPr>
              <w:lastRenderedPageBreak/>
              <w:t xml:space="preserve">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lastRenderedPageBreak/>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hint="eastAsia"/>
                <w:lang w:eastAsia="ja-JP"/>
              </w:rPr>
            </w:pPr>
            <w:r>
              <w:rPr>
                <w:rFonts w:eastAsia="Yu Mincho" w:hint="eastAsia"/>
                <w:lang w:eastAsia="ja-JP"/>
              </w:rPr>
              <w:t>ASUSTeK</w:t>
            </w:r>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r>
        <w:rPr>
          <w:i/>
          <w:iCs/>
        </w:rPr>
        <w:t>RRCReconfiguration</w:t>
      </w:r>
      <w:r>
        <w:t xml:space="preserve"> message for each candidate target configuration</w:t>
      </w:r>
    </w:p>
    <w:p w14:paraId="48D08E91" w14:textId="77777777" w:rsidR="00CE599A" w:rsidRDefault="00D12E1F">
      <w:pPr>
        <w:pStyle w:val="a6"/>
      </w:pPr>
      <w:r>
        <w:t xml:space="preserve">This is the solution that provides the full flexibility in the modelling of a L1/L2 inter-cell mobility candidate target configuration (similar to a L3 handover). In this case the UE receives one </w:t>
      </w:r>
      <w:r>
        <w:rPr>
          <w:i/>
          <w:iCs/>
        </w:rPr>
        <w:t>RRCReconfiguration</w:t>
      </w:r>
      <w:r>
        <w:t xml:space="preserve"> message for each L1/L2 inter-cell mobility candidate target cell. Each </w:t>
      </w:r>
      <w:r>
        <w:rPr>
          <w:i/>
          <w:iCs/>
        </w:rPr>
        <w:t>RRCReconfiguration</w:t>
      </w:r>
      <w:r>
        <w:t xml:space="preserve"> message containing the configuration of a L1/L2 inter-cell mobility candidate target SpCell and SCell(s) needs to be stored by the UE upon reception and applied/used/activated when receiving the lower layer signaling for L1/L2 inter-cell mobility serving cell change by the network. </w:t>
      </w:r>
    </w:p>
    <w:p w14:paraId="03FA30BD" w14:textId="77777777" w:rsidR="00CE599A" w:rsidRDefault="00D12E1F">
      <w:pPr>
        <w:pStyle w:val="a6"/>
      </w:pPr>
      <w:r>
        <w:t xml:space="preserve">To address CA, each </w:t>
      </w:r>
      <w:r>
        <w:rPr>
          <w:i/>
          <w:iCs/>
        </w:rPr>
        <w:t>RRCReconfiguration</w:t>
      </w:r>
      <w:r>
        <w:t xml:space="preserve"> has a </w:t>
      </w:r>
      <w:r>
        <w:rPr>
          <w:i/>
          <w:iCs/>
        </w:rPr>
        <w:t>CellGroupConfig</w:t>
      </w:r>
      <w:r>
        <w:t xml:space="preserve"> IE, with an SpCell configuration and the configuration of one or more SCell(s). In inter-DU, a target candidate DU (which may be the same as the Serving DU) generates the </w:t>
      </w:r>
      <w:r>
        <w:rPr>
          <w:i/>
          <w:iCs/>
        </w:rPr>
        <w:t>CellGroupConfig</w:t>
      </w:r>
      <w:r>
        <w:t xml:space="preserve"> IE for the target candidate and provides to the CU, which generates the </w:t>
      </w:r>
      <w:r>
        <w:rPr>
          <w:i/>
          <w:iCs/>
        </w:rPr>
        <w:t>RRCReconfiguration</w:t>
      </w:r>
      <w:r>
        <w:t xml:space="preserve"> per target candidate cell to be included in the L1/L2 inter-cell mobility configuration. In such a model, upon L1/L2 inter-cell mobility execution (reception of the lower layer signaling) the UE changes its SpCell and the set of SCells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Candidates-L1L2-ToRemoveList-r18   OPTIONAL,   --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OPTIONAL,   --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candidates-L1L2-ToAddMod-r18 ::=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r>
        <w:rPr>
          <w:rFonts w:ascii="Courier New" w:hAnsi="Courier New"/>
          <w:color w:val="FF0000"/>
          <w:sz w:val="11"/>
          <w:szCs w:val="15"/>
          <w:highlight w:val="yellow"/>
          <w:lang w:eastAsia="en-GB"/>
        </w:rPr>
        <w:t>RRCReconfiguration</w:t>
      </w:r>
      <w:r>
        <w:rPr>
          <w:rFonts w:ascii="Courier New" w:hAnsi="Courier New"/>
          <w:color w:val="FF0000"/>
          <w:sz w:val="11"/>
          <w:szCs w:val="15"/>
          <w:lang w:eastAsia="en-GB"/>
        </w:rPr>
        <w:t>)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Figure 1. Example of configuring a L1/L2 inter-cell mobility candidate target configuration with an RRCReconfiguration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r>
        <w:rPr>
          <w:i/>
          <w:iCs/>
        </w:rPr>
        <w:t>RRCReconfiguration</w:t>
      </w:r>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r>
              <w:rPr>
                <w:i/>
                <w:iCs/>
                <w:lang w:eastAsia="zh-TW"/>
              </w:rPr>
              <w:t>RRCReconfiguration</w:t>
            </w:r>
            <w:r>
              <w:rPr>
                <w:lang w:eastAsia="zh-TW"/>
              </w:rPr>
              <w:t xml:space="preserve"> container provided best configuration flexibility (everything can be reconfigured), but since the scenario is limited to intra-CU, layers above RLC should not be reconfigured (e.g., </w:t>
            </w:r>
            <w:r>
              <w:rPr>
                <w:i/>
                <w:iCs/>
                <w:lang w:eastAsia="zh-TW"/>
              </w:rPr>
              <w:t>RadioBearerConfig</w:t>
            </w:r>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r>
              <w:rPr>
                <w:i/>
                <w:iCs/>
                <w:lang w:eastAsia="zh-TW"/>
              </w:rPr>
              <w:t>RRCReconfiguration</w:t>
            </w:r>
            <w:r>
              <w:rPr>
                <w:lang w:eastAsia="zh-TW"/>
              </w:rPr>
              <w:t xml:space="preserve"> unless every </w:t>
            </w:r>
            <w:r>
              <w:rPr>
                <w:i/>
                <w:iCs/>
                <w:lang w:eastAsia="zh-TW"/>
              </w:rPr>
              <w:t>RRCReconfiguration</w:t>
            </w:r>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r>
              <w:t>InterDigital</w:t>
            </w:r>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could allow the same framework to be used for both CHO and L1/2 cell change. With correct design of “delta” configuration the overhead may not be significantly worse than any other option. It would also be more future proof in case e.g.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but in most cases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Huawei, HiSilicon</w:t>
            </w:r>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w:t>
            </w:r>
            <w:r>
              <w:lastRenderedPageBreak/>
              <w:t xml:space="preserve">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cell, if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can signal combination of SpCell and SCells, and of both MCG and SCG;</w:t>
            </w:r>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r>
              <w:rPr>
                <w:i/>
              </w:rPr>
              <w:t>reestablishRLC</w:t>
            </w:r>
            <w:r>
              <w:t xml:space="preserve"> and </w:t>
            </w:r>
            <w:r>
              <w:rPr>
                <w:i/>
              </w:rPr>
              <w:t>recoverPDCP</w:t>
            </w:r>
            <w:r>
              <w:t xml:space="preserve"> at inter-DU mobility case (from RadioBearerConfig).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4) It can achieve </w:t>
            </w:r>
            <w:r>
              <w:rPr>
                <w:highlight w:val="yellow"/>
              </w:rPr>
              <w:t>same signalling overhead</w:t>
            </w:r>
            <w:r>
              <w:t xml:space="preserve"> as other model, if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(Note on MediaTek's comment: it would be a field separate from conditionalReconfiguration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In general, we prefer to avoid autonomous UE release actions, it is makes </w:t>
            </w:r>
            <w:r>
              <w:lastRenderedPageBreak/>
              <w:t>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(Note on rapporteur’s comment on “fact that the UE needs to process and store multiple RRCReconfiguration messages may result in long latency”: it cause no extra delay and storage, when IEs</w:t>
            </w:r>
            <w:r>
              <w:rPr>
                <w:rFonts w:eastAsiaTheme="minorEastAsia"/>
              </w:rPr>
              <w:t xml:space="preserve"> in</w:t>
            </w:r>
            <w:r>
              <w:t xml:space="preserve"> RRCReconfiguration</w:t>
            </w:r>
            <w:r>
              <w:rPr>
                <w:rFonts w:eastAsiaTheme="minorEastAsia"/>
              </w:rPr>
              <w:t xml:space="preserve"> other than </w:t>
            </w:r>
            <w:r>
              <w:rPr>
                <w:highlight w:val="yellow"/>
              </w:rPr>
              <w:t>CellGroupConfig</w:t>
            </w:r>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RRCReconfiguraiton messages and multiple IEs, if the IEs other than </w:t>
            </w:r>
            <w:r>
              <w:rPr>
                <w:highlight w:val="yellow"/>
              </w:rPr>
              <w:t>CellGroupConfig</w:t>
            </w:r>
            <w:r>
              <w:t xml:space="preserve"> as absent in RRCReconfiguraiton, or if we have the same restriction on what we can udapte.)</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(Note that this does not have to a message container. It can be a IE of “</w:t>
            </w:r>
            <w:r>
              <w:rPr>
                <w:rFonts w:eastAsia="SimSun"/>
              </w:rPr>
              <w:t>RRCReconfiguration-IEs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r>
              <w:rPr>
                <w:highlight w:val="yellow"/>
              </w:rPr>
              <w:t>CellGroupConfig</w:t>
            </w:r>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Works in all scenarios (i.e.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Similar to CHO model (i.e.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change,  unless </w:t>
            </w:r>
            <w:r>
              <w:rPr>
                <w:lang w:val="en-US"/>
              </w:rPr>
              <w:lastRenderedPageBreak/>
              <w:t>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lastRenderedPageBreak/>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r>
              <w:rPr>
                <w:i/>
                <w:iCs/>
              </w:rPr>
              <w:t>RRCReconfiguration</w:t>
            </w:r>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RRCReconfiguration message but the UE needs anyway to do a validity check for each RRCReconfiguration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Rel-18 only intra-CU is supported and some configuration that are “outside” of the CellGroupConfig may not need to be changes (e.g., like the RadioBearerConfig and MeasConfig) it should be an overkill to provide a full configuration at the UE. Also, to reply to Huawei’s comment on the MeasConfig (in the pros column), even if the network decides to change this configuration 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RRCReconfiguration, all mobility framework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We haven’t discussed in detail on the potentially need for explicit indication for PDCP recovery .  If it is required to be signalled, then RRCReconfiguration has to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Agree it is more signaling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candidate configuration can only be either MCG or SCG. If a candidate configuration of a cell wants to be changed to PCell and/or SpCell,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r>
              <w:rPr>
                <w:i/>
                <w:iCs/>
                <w:lang w:eastAsia="zh-TW"/>
              </w:rPr>
              <w:t>RadioBearerConfig</w:t>
            </w:r>
            <w:r>
              <w:t xml:space="preserve"> incuding securityConfig and pdcp-Config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RRCReconfiguration message may bring extra signalling overhead since the configurations of CU may also be indicated. But for L1/L2 mobility, CU-related configurations such as </w:t>
            </w:r>
            <w:r>
              <w:t>radioBearerConfig, masterKeyUpdate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configuration, i.e., not including the IEs that can be maintained, there may be additional complexity on studying which configuration in RRCReconfiguration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complex(e.g.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lastRenderedPageBreak/>
              <w:t xml:space="preserve">3. UE needs to send </w:t>
            </w:r>
            <w:r>
              <w:rPr>
                <w:iCs/>
              </w:rPr>
              <w:t>RRCReconfiguration</w:t>
            </w:r>
            <w:r>
              <w:rPr>
                <w:rFonts w:eastAsiaTheme="minorEastAsia" w:hint="eastAsia"/>
                <w:iCs/>
              </w:rPr>
              <w:t>Complete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lastRenderedPageBreak/>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Considering the intention to introduce L1/L2 inter-cell mobility, the full flexibility may not be necessary, e.g.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(e.g. no security update), the latency drawback can be avoided. But this is a bit odd..</w:t>
            </w:r>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SimSun"/>
                <w:b w:val="0"/>
                <w:bCs w:val="0"/>
                <w:lang w:val="en-US"/>
              </w:rPr>
            </w:pPr>
            <w:r>
              <w:rPr>
                <w:rFonts w:eastAsia="SimSun"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This model provides full flexibility for all parameters reconfiguration;</w:t>
            </w:r>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Signalling size may be larger compared to other models;</w:t>
            </w:r>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Considering that only intra-CU case is supported in Rel-18, radio bearer reconfiguration and security key refresh is not required. So some extra spec impact may be needed to specify which parameter 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RRC message size will be huge because of a number of candidate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lastRenderedPageBreak/>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lastRenderedPageBreak/>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lastRenderedPageBreak/>
              <w:t>large sig</w:t>
            </w:r>
            <w:r w:rsidRPr="00CD2951">
              <w:rPr>
                <w:rFonts w:eastAsia="Yu Mincho"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D2951">
              <w:rPr>
                <w:rFonts w:ascii="Arial" w:eastAsia="Yu Mincho" w:hAnsi="Arial" w:cs="Arial"/>
                <w:iCs/>
                <w:sz w:val="20"/>
                <w:szCs w:val="20"/>
                <w:lang w:eastAsia="ja-JP"/>
              </w:rPr>
              <w:t>Need to discuss delta configuration due to the agreement below:</w:t>
            </w:r>
            <w:r w:rsidRPr="00CD2951">
              <w:rPr>
                <w:rFonts w:ascii="Arial" w:eastAsia="Yu Mincho" w:hAnsi="Arial" w:cs="Arial"/>
                <w:iCs/>
                <w:sz w:val="20"/>
                <w:szCs w:val="20"/>
                <w:lang w:eastAsia="ja-JP"/>
              </w:rPr>
              <w:br/>
            </w:r>
            <w:r w:rsidRPr="00CD2951">
              <w:rPr>
                <w:rFonts w:ascii="Arial" w:eastAsiaTheme="minorEastAsia" w:hAnsi="Arial" w:cs="Arial"/>
                <w:iCs/>
                <w:sz w:val="20"/>
                <w:szCs w:val="20"/>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lastRenderedPageBreak/>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Self-embedded RRCReconfiguration message may cause implementation issues.</w:t>
            </w:r>
          </w:p>
        </w:tc>
      </w:tr>
      <w:tr w:rsidR="00D059BC" w14:paraId="476D2D2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Possible to harmonize RRC modeling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hint="eastAsia"/>
                <w:lang w:eastAsia="ja-JP"/>
              </w:rPr>
            </w:pPr>
            <w:r>
              <w:rPr>
                <w:rFonts w:eastAsia="Yu Mincho" w:hint="eastAsia"/>
                <w:lang w:eastAsia="ja-JP"/>
              </w:rPr>
              <w:t>ASUSTeK</w:t>
            </w:r>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This model provides full flexibility and is similar to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bl>
    <w:p w14:paraId="4B967E81" w14:textId="77777777" w:rsidR="00CE599A" w:rsidRDefault="00CE599A">
      <w:pPr>
        <w:pStyle w:val="a6"/>
      </w:pPr>
    </w:p>
    <w:p w14:paraId="677FFB8E" w14:textId="77777777" w:rsidR="00CE599A" w:rsidRDefault="00D12E1F">
      <w:pPr>
        <w:pStyle w:val="31"/>
      </w:pPr>
      <w:r>
        <w:t>3.2.2</w:t>
      </w:r>
      <w:r>
        <w:tab/>
        <w:t>Model 2: one CellGroupConfig IE for each candidate target configuration</w:t>
      </w:r>
    </w:p>
    <w:p w14:paraId="33E27345" w14:textId="77777777" w:rsidR="00CE599A" w:rsidRDefault="00D12E1F">
      <w:pPr>
        <w:pStyle w:val="a6"/>
      </w:pPr>
      <w:r>
        <w:t xml:space="preserve">In this model the UE receives within an </w:t>
      </w:r>
      <w:r>
        <w:rPr>
          <w:i/>
          <w:iCs/>
        </w:rPr>
        <w:t>RRCReconfiguration</w:t>
      </w:r>
      <w:r>
        <w:t xml:space="preserve"> message a list of </w:t>
      </w:r>
      <w:r>
        <w:rPr>
          <w:i/>
          <w:iCs/>
        </w:rPr>
        <w:t>CellGroupConfig</w:t>
      </w:r>
      <w:r>
        <w:t xml:space="preserve"> IEs and each one of them associated to a configuration of a L1/L2 inter-cell mobility candidate target cell. In this case, each </w:t>
      </w:r>
      <w:r>
        <w:rPr>
          <w:i/>
          <w:iCs/>
        </w:rPr>
        <w:t>CellGroupConfig</w:t>
      </w:r>
      <w:r>
        <w:t xml:space="preserve"> IE is stored at the UE upon reception, during preparation. The configuration may be applied/used/activated when receiving the lower layer signaling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radioBearerConfig                       RadioBearerConfig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masterCellGroup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measConfig                              MeasConfig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RRCReconfiguration-vXXXX-Ies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lateNonCriticalExtension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nonCriticalExtension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candidates-L1L2-ToRemoveList-r16         Candidates-L1L2-ToRemoveList-r16   OPTIONAL,   --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Candidates-L1L2-ToAddModList-r16   OPTIONAL,   --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Candidates-L1L2-ToAddModList-r18 ::=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candidates-L1L2-ToAddMod-r18 ::=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lastRenderedPageBreak/>
        <w:t xml:space="preserve">    candidates-L1L2-CellsConfig-r18       OCTET STRING (CONTAINING </w:t>
      </w:r>
      <w:r>
        <w:rPr>
          <w:rFonts w:ascii="Courier New" w:hAnsi="Courier New"/>
          <w:color w:val="FF0000"/>
          <w:sz w:val="11"/>
          <w:szCs w:val="15"/>
          <w:highlight w:val="yellow"/>
          <w:lang w:eastAsia="en-GB"/>
        </w:rPr>
        <w:t>CellGroupConfig</w:t>
      </w:r>
      <w:r>
        <w:rPr>
          <w:rFonts w:ascii="Courier New" w:hAnsi="Courier New"/>
          <w:color w:val="FF0000"/>
          <w:sz w:val="11"/>
          <w:szCs w:val="15"/>
          <w:lang w:eastAsia="en-GB"/>
        </w:rPr>
        <w:t>)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Figure 2. Example of configuring a L1/L2 inter-cell mobility candidate target configuration with a list of CellGroupConfig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r>
        <w:rPr>
          <w:i/>
          <w:iCs/>
        </w:rPr>
        <w:t>CellGroupConfig</w:t>
      </w:r>
      <w:r>
        <w:t xml:space="preserve"> IE while the rest of the </w:t>
      </w:r>
      <w:r>
        <w:rPr>
          <w:i/>
          <w:iCs/>
        </w:rPr>
        <w:t>RRCReconfiguration</w:t>
      </w:r>
      <w:r>
        <w:t xml:space="preserve"> message (that is where the </w:t>
      </w:r>
      <w:r>
        <w:rPr>
          <w:i/>
          <w:iCs/>
        </w:rPr>
        <w:t>CellGroupConfig</w:t>
      </w:r>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r>
        <w:rPr>
          <w:i/>
          <w:iCs/>
        </w:rPr>
        <w:t>CellGroupConfig</w:t>
      </w:r>
      <w:r>
        <w:t xml:space="preserve"> IE has an SpCell configuration and the configuration of one or more SCell(s).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signaling) the UE changes its SpCell and the set of SCells for the MCG (or SCG) by changing the CellGroupConfig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r>
        <w:rPr>
          <w:i/>
          <w:iCs/>
        </w:rPr>
        <w:t>RRCReconfiguration</w:t>
      </w:r>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supports all scenarios (CA/non-CA, NR-DC, intra/inter-DU, intra-/inter-frequency), with reasonable signalling overhead. It also allows UE to switch back-and-forth between two candidate CGs, by e.g., keep two MCG configurations and applying the one for selected CG. Note that the cellGropuConfig needs not to be “full config”, signalling optimization is possible (e.g., keep some “reference cellGroupConfig”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r>
              <w:t>InterDigital</w:t>
            </w:r>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inter-DU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intra-DU where only the SpCell and/or SCell config changes this option could result in too much configuration overhead. Configuring one CellGroupConfig for each and every candidate cell is not necessary. Configuring one CellGroupConfig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Huawei, HiSilicon</w:t>
            </w:r>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this is a list of pre-configurations which are a whole CG </w:t>
            </w:r>
            <w:r>
              <w:lastRenderedPageBreak/>
              <w:t>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combination of SpCell and SCells,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lastRenderedPageBreak/>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trigger RACH for mobility, as the RACH is in the procedure for reception of RRCReconfiguration,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 there may be the need for </w:t>
            </w:r>
            <w:r>
              <w:rPr>
                <w:highlight w:val="yellow"/>
              </w:rPr>
              <w:t>a new procedure</w:t>
            </w:r>
            <w:r>
              <w:t>. Of course, new procedure is 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lastRenderedPageBreak/>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r>
              <w:rPr>
                <w:i/>
                <w:iCs/>
              </w:rPr>
              <w:t>RRCReconfiguration</w:t>
            </w:r>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r>
              <w:rPr>
                <w:i/>
                <w:iCs/>
              </w:rPr>
              <w:t>RRCReconfiguration</w:t>
            </w:r>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May always need signal the entire CellGroupConfig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CellGroupConfig IE (or just part of it) is the only part of the ASN.1 structure that will be impacted during the switch of the UE to a new candidate cell, it should be in theory simple to set a reference configuration at the UE in order to allow delta signaling between configurations. This could speed up even more the processing delay at the UE and it should also allow the UE to be switched back of forth from one candidate target cell configuration to </w:t>
            </w:r>
            <w:r>
              <w:lastRenderedPageBreak/>
              <w:t>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The procedural text for the reception of the CellGroupConfig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pros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In case of DC, we may need a mapping to clarify which CellGroupConfig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lastRenderedPageBreak/>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cellGroupConfig,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is more light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Less flexibility – if it later turns out that some fields outside of the cellGroupConfig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PDCP data recovery indication “recoverPDCP” is in the radioBearConfig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intra-DU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the intra-DU case, we may need extra signalling overheads, as the RLC-BearerConfig should be the same for many candidate configurations if the gNB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(e.g.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Signalling overhead may be relatively larger compared to model3, especially for case that only SpCell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Signalling overhead is smaller than RRCReconfiguration based option (eg.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(eg.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processing latency. Considering the intention to introduce L1/L2 inter-cell mobility, this seems more suitable </w:t>
            </w:r>
            <w:r>
              <w:rPr>
                <w:rFonts w:eastAsia="Yu Mincho"/>
                <w:lang w:eastAsia="ja-JP"/>
              </w:rPr>
              <w:lastRenderedPageBreak/>
              <w:t>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Less flexibility, e.g.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r>
              <w:rPr>
                <w:rFonts w:eastAsia="Yu Mincho"/>
                <w:lang w:eastAsia="ja-JP"/>
              </w:rPr>
              <w:lastRenderedPageBreak/>
              <w:t>CellGroupConfig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SimSun"/>
                <w:b w:val="0"/>
                <w:bCs w:val="0"/>
                <w:lang w:val="en-US"/>
              </w:rPr>
            </w:pPr>
            <w:r>
              <w:rPr>
                <w:rFonts w:eastAsia="SimSun" w:hint="eastAsia"/>
                <w:lang w:val="en-US"/>
              </w:rPr>
              <w:lastRenderedPageBreak/>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eastAsia="ja-JP"/>
              </w:rPr>
            </w:pPr>
            <w:r>
              <w:rPr>
                <w:rFonts w:eastAsia="SimSun" w:hint="eastAsia"/>
                <w:lang w:val="en-US"/>
              </w:rPr>
              <w:t>- Less signalling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For intra-DU case, more signalling overhead are required then model 3, especially in case of only SpCell change or SCell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This model could cover all candidate scenario for this WI i.e.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Forward compatible issue for further scenario (e.g.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r>
              <w:rPr>
                <w:rFonts w:eastAsia="Yu Mincho" w:hint="eastAsia"/>
                <w:lang w:eastAsia="ja-JP"/>
              </w:rPr>
              <w:t>M</w:t>
            </w:r>
            <w:r>
              <w:rPr>
                <w:rFonts w:eastAsia="Yu Mincho"/>
                <w:lang w:eastAsia="ja-JP"/>
              </w:rPr>
              <w:t>easConfig and reververPDCP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r w:rsidRPr="00121AD3">
              <w:rPr>
                <w:rFonts w:eastAsiaTheme="minorEastAsia"/>
              </w:rPr>
              <w:t>CellGroupConfig</w:t>
            </w:r>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hint="eastAsia"/>
                <w:lang w:eastAsia="ja-JP"/>
              </w:rPr>
            </w:pPr>
            <w:r>
              <w:rPr>
                <w:rFonts w:eastAsia="Yu Mincho" w:hint="eastAsia"/>
                <w:lang w:eastAsia="ja-JP"/>
              </w:rPr>
              <w:t>ASUSTeK</w:t>
            </w:r>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hint="eastAsia"/>
                <w:lang w:eastAsia="ja-JP"/>
              </w:rPr>
            </w:pPr>
            <w:r>
              <w:rPr>
                <w:rFonts w:eastAsia="Yu Mincho"/>
                <w:lang w:eastAsia="ja-JP"/>
              </w:rPr>
              <w:t>more signalling overhead than model 3</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t>3.2.3</w:t>
      </w:r>
      <w:r>
        <w:tab/>
        <w:t>Model 3: one SpCellConfig IE (and eventually SCellConfig IE) for each candidate target configuration</w:t>
      </w:r>
    </w:p>
    <w:p w14:paraId="1CCD10CE" w14:textId="77777777" w:rsidR="00CE599A" w:rsidRDefault="00D12E1F">
      <w:pPr>
        <w:pStyle w:val="a6"/>
      </w:pPr>
      <w:r>
        <w:t xml:space="preserve">With this model, the UE receives a list of </w:t>
      </w:r>
      <w:r>
        <w:rPr>
          <w:i/>
          <w:iCs/>
        </w:rPr>
        <w:t>SpCellConfig</w:t>
      </w:r>
      <w:r>
        <w:t xml:space="preserve"> IEs (and eventually a list of </w:t>
      </w:r>
      <w:r>
        <w:rPr>
          <w:i/>
          <w:iCs/>
        </w:rPr>
        <w:t>SCellConfig</w:t>
      </w:r>
      <w:r>
        <w:t xml:space="preserve"> IEs) one for each L1/L2 inter-cell mobility candidate cell. In this case, each </w:t>
      </w:r>
      <w:r>
        <w:rPr>
          <w:i/>
          <w:iCs/>
        </w:rPr>
        <w:t>SpCellConfig</w:t>
      </w:r>
      <w:r>
        <w:t xml:space="preserve"> IE (and </w:t>
      </w:r>
      <w:r>
        <w:rPr>
          <w:i/>
          <w:iCs/>
        </w:rPr>
        <w:t>SCellConfig</w:t>
      </w:r>
      <w:r>
        <w:t xml:space="preserve"> IE) is stored at the UE in the moment is received and is applied/used/activated when receiving the lower layer signaling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CellGroupConfig ::=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cellGroupId                                CellGroupId,</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rlc-BearerToAddModList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RLC-BearerConfig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lastRenderedPageBreak/>
        <w:t xml:space="preserve">    rlc-BearerToReleaseList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LogicalChannelIdentity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mac-CellGroupConfig                        MAC-CellGroupConfig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physicalCellGroupConfig                    PhysicalCellGroupConfig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spCellConfig                               SpCellConfig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sCellToAddModList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SCellConfig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sCellToReleaseList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(1..maxNrofSCells))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SCellIndex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sCell-L1L2-ToRemoveList-r18         Candidates-L1L2-ToRemoveList-r18   OPTIONAL,   --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(1..maxNrof-L1L2-Cells)) OF SCellConfig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OPTIONAL,   --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(1..maxNrof-L1L2-Cells)) OF SpCellConfig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Figure 3. Example of configuring a L1/L2 inter-cell mobility candidate target configuration with a list of SpCellConfig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r>
        <w:rPr>
          <w:i/>
          <w:iCs/>
        </w:rPr>
        <w:t>RRCReconfiguration</w:t>
      </w:r>
      <w:r>
        <w:t xml:space="preserve"> message and the </w:t>
      </w:r>
      <w:r>
        <w:rPr>
          <w:i/>
          <w:iCs/>
        </w:rPr>
        <w:t>CellGroupConfig</w:t>
      </w:r>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r>
        <w:rPr>
          <w:i/>
          <w:iCs/>
        </w:rPr>
        <w:t>SCellConfig</w:t>
      </w:r>
      <w:r>
        <w:t xml:space="preserve"> IEs to support CA. Here the tricky part is that one </w:t>
      </w:r>
      <w:r>
        <w:rPr>
          <w:i/>
          <w:iCs/>
        </w:rPr>
        <w:t>SpCellConfig</w:t>
      </w:r>
      <w:r>
        <w:t xml:space="preserve"> may be associated with one or multiple </w:t>
      </w:r>
      <w:r>
        <w:rPr>
          <w:i/>
          <w:iCs/>
        </w:rPr>
        <w:t>SCellConfig</w:t>
      </w:r>
      <w:r>
        <w:t xml:space="preserve"> IEs and thus also a mapping between candidate P(S)Cell and SCell(s) needs to be provided, either during preparation and/or execution. One advantage of this model is that it enables the possibility to have L1/L2 inter-cell mobility execution per serving cell (e.g., SCell(s)),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Companies are invited to provide pros and cons of this solution and whether or not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r>
              <w:t>InterDigital</w:t>
            </w:r>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(SpCell and/or SCell).</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don’t really agree with the rapporteur’s suggestion that one SpCellConfig needs to be associated with one or more SCellConfig, a more intuitive approach would be to have a list of multiple candidate cells, each having an SpCellConfig and an SCellConfig (i.e. the candidate cell can be configured as either a SpCell or an SCell).</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Cell group reconfiguration, however, needs to be supported for inter-DU, this may require a different ASN.1 structure, although this isn’t a significant drawback. Each candidate cell can be linked with a CellGroupConfig,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t>Huawei, HiSilicon</w:t>
            </w:r>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w:t>
            </w:r>
            <w:r>
              <w:lastRenderedPageBreak/>
              <w:t>indicate the target PCell and the target SCells)</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Possibly smaller RRC signalling for more allowed combinations of SpCell/SCell.</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lastRenderedPageBreak/>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lastRenderedPageBreak/>
              <w:t xml:space="preserve">Many physical/MAC parameters are also outside ServingCellConfig, which is not able to be updated (e.g. </w:t>
            </w:r>
            <w:r>
              <w:rPr>
                <w:highlight w:val="yellow"/>
              </w:rPr>
              <w:t>mac-CellGroupConfig</w:t>
            </w:r>
            <w:r>
              <w:rPr>
                <w:rFonts w:eastAsiaTheme="minorEastAsia"/>
                <w:highlight w:val="yellow"/>
              </w:rPr>
              <w:t xml:space="preserve">, </w:t>
            </w:r>
            <w:r>
              <w:rPr>
                <w:highlight w:val="yellow"/>
              </w:rPr>
              <w:t>physicalCellGroupConfig</w:t>
            </w:r>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change L3 measConfig</w:t>
            </w:r>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send an RRCReconfigurationComplete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lastRenderedPageBreak/>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Mapping between SpCells and SCells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Applicability to inter-DU case is unclear (since CellGroupConfig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PDCP/RLC/MAC/PHY configurations are outside the target cell config, but may have linkages to the changed serving cell (at least for SpCell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option the require the less signaling for configuring SpCell and SCell(s).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For the cases in which is assumed that a reconfiguration with sync in not needs when performing the switch, the handling of the ServingCellCommon needs a special handling for the SpCell (while for the SCell(s)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SpCellConfig with multiple SCellConfig and this it may be complicated to achieve, unless some </w:t>
            </w:r>
            <w:r>
              <w:lastRenderedPageBreak/>
              <w:t>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Suitable for intra-DU PCell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PDCP data recovery, RLC and MAC configurations are not supported. In particular,for inter-DU mobility, the explicit indications for PDCP recovery and RLC re-establishment need to be sent and this can only be provided in radioBearerConfig and RLC-BearerConfig in CellGroupConfig’</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r>
              <w:rPr>
                <w:rFonts w:eastAsiaTheme="minorEastAsia" w:hint="eastAsia"/>
              </w:rPr>
              <w:t>S</w:t>
            </w:r>
            <w:r>
              <w:rPr>
                <w:rFonts w:eastAsiaTheme="minorEastAsia"/>
              </w:rPr>
              <w:t>preadtrum</w:t>
            </w:r>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r>
              <w:rPr>
                <w:iCs/>
              </w:rPr>
              <w:t>SpCellConfig</w:t>
            </w:r>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(i.e.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SimSun"/>
                <w:b w:val="0"/>
                <w:bCs w:val="0"/>
                <w:lang w:val="en-US"/>
              </w:rPr>
            </w:pPr>
            <w:r>
              <w:rPr>
                <w:rFonts w:eastAsia="SimSun" w:hint="eastAsia"/>
                <w:lang w:val="en-US"/>
              </w:rPr>
              <w:lastRenderedPageBreak/>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Low signalling overhead;</w:t>
            </w:r>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Allow more flexible cell combination of SpCell and SCell with less signalling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It may be not applicable to inter-DU case considering that CellGroupConfig is generated and transferred by each candidate DU to the CU in the current CU/DU coordination procedure, i.e.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SimSun"/>
                <w:lang w:val="en-US"/>
              </w:rPr>
              <w:t xml:space="preserve">RRC </w:t>
            </w:r>
            <w:r>
              <w:rPr>
                <w:rFonts w:eastAsia="SimSun"/>
                <w:lang w:val="en-US"/>
              </w:rPr>
              <w:t>s</w:t>
            </w:r>
            <w:r w:rsidRPr="0099025C">
              <w:rPr>
                <w:rFonts w:eastAsia="SimSun"/>
                <w:lang w:val="en-US"/>
              </w:rPr>
              <w:t>ignalling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sidRPr="00BD7515">
              <w:rPr>
                <w:rFonts w:eastAsia="SimSun"/>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SimSun"/>
                <w:lang w:val="en-US"/>
              </w:rPr>
              <w:t>L1/L2 signalling overhead would be large</w:t>
            </w:r>
            <w:r>
              <w:rPr>
                <w:rFonts w:eastAsia="SimSun"/>
                <w:lang w:val="en-US"/>
              </w:rPr>
              <w:t>r than other models</w:t>
            </w:r>
            <w:r w:rsidRPr="00BD7515">
              <w:rPr>
                <w:rFonts w:eastAsia="SimSun"/>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SimSun"/>
                <w:lang w:val="en-US"/>
              </w:rPr>
            </w:pPr>
            <w:r>
              <w:t>Does not support a common design for intra-DU and inter-DU.</w:t>
            </w:r>
          </w:p>
        </w:tc>
      </w:tr>
      <w:tr w:rsidR="00D059BC" w14:paraId="4A0A2AA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hint="eastAsia"/>
                <w:lang w:eastAsia="ja-JP"/>
              </w:rPr>
            </w:pPr>
            <w:r>
              <w:rPr>
                <w:rFonts w:eastAsia="Yu Mincho" w:hint="eastAsia"/>
                <w:lang w:eastAsia="ja-JP"/>
              </w:rPr>
              <w:t>ASUSTeK</w:t>
            </w:r>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SpCell and SCells (in lower layer signaling) will be complicated. NW will need to handle reconfiguration of parameters outside SpCell configuration </w:t>
            </w:r>
            <w:r w:rsidR="004637AB">
              <w:rPr>
                <w:rFonts w:eastAsia="Yu Mincho"/>
                <w:lang w:eastAsia="ja-JP"/>
              </w:rPr>
              <w:t>via</w:t>
            </w:r>
            <w:r>
              <w:rPr>
                <w:rFonts w:eastAsia="Yu Mincho"/>
                <w:lang w:eastAsia="ja-JP"/>
              </w:rPr>
              <w:t xml:space="preserve"> other ways</w:t>
            </w:r>
          </w:p>
        </w:tc>
      </w:tr>
    </w:tbl>
    <w:p w14:paraId="5508EDCB" w14:textId="77777777" w:rsidR="00CE599A" w:rsidRDefault="00CE599A">
      <w:pPr>
        <w:pStyle w:val="a6"/>
      </w:pPr>
    </w:p>
    <w:p w14:paraId="529769F9" w14:textId="77777777" w:rsidR="00CE599A" w:rsidRDefault="00D12E1F">
      <w:pPr>
        <w:pStyle w:val="21"/>
      </w:pPr>
      <w:r>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r>
              <w:t>InterDigital</w:t>
            </w:r>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hybrid approach could also be considered. It’s not necessary to provide a cell group configuration for every possible cell change (e.g. intra-DU) when the ServingCellConfig would suffice. On the other hand, there are some cases (at least </w:t>
            </w:r>
            <w:r>
              <w:lastRenderedPageBreak/>
              <w:t xml:space="preserve">inter-DU) which require cell group reconfiguration. We could consider multiple cell group configurations (e.g. 1 per DU), each having multiple candidate cell (SpCell and SCell) configurations, rather than having a cell group configuration for every single possible cell change. While this would need more of an ASN.1 structure re-design, it isn’t particularly  complicated e.g. we just need to associate a list of candidate cell configs with each CellGroupConfig (e.g. SpCell + SCell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As long as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lastRenderedPageBreak/>
              <w:t>Huawei, HiSilicon</w:t>
            </w:r>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For "model 1", we can apply the existing reconfiguration procedure as it is, like is done for CHO/CPC, but for "model 2" and "model 3", there is no procedure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Note that we are fine to add some restriction on the parameter to be updated to model 1, if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(i.e.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since progresses need to be made and is quite important to assume at least an RRC model for the work we have to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lastRenderedPageBreak/>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The selection of which model depends on what functions are needed for the L1/L2 mobility with serving cell change.  With the support of inter-DU mobility, it will require the RadioBearerConfig in RRCReconfiguration to explicitly indicate the PDCP recovery. And RAN2 has not yet discussed whether RRM configuration will need to change for L1/L2 mobility which will require measConfig in RRCReconfiguration.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r>
              <w:rPr>
                <w:rFonts w:eastAsiaTheme="minorEastAsia" w:hint="eastAsia"/>
              </w:rPr>
              <w:t>S</w:t>
            </w:r>
            <w:r>
              <w:rPr>
                <w:rFonts w:eastAsiaTheme="minorEastAsia"/>
              </w:rPr>
              <w:t>preatrum</w:t>
            </w:r>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PCell or PSCell. In these cases, the network has to provide several independent RRCReconfiguration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 xml:space="preserve">intra-DU, or inter-DU).Then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and also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SimSun"/>
                <w:b w:val="0"/>
                <w:bCs w:val="0"/>
                <w:lang w:val="en-US"/>
              </w:rPr>
            </w:pPr>
            <w:r>
              <w:rPr>
                <w:rFonts w:eastAsia="SimSun"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 xml:space="preserve">Model 2 can be used for inter-DU scenario and model 3 can be considered for intra-DU scenario, to achieve a good compromise between the signalling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is the use case of L1/L2 inter-cell mobility even it should be generally supported for all deployment scenario.</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the main purpose of this WI is to reduce the overall cell change time (e.g. latency and interruption time) so Model 3 would be first considered. This is also quite aligned with the </w:t>
            </w:r>
            <w:r>
              <w:rPr>
                <w:rFonts w:eastAsia="Malgun Gothic"/>
                <w:lang w:eastAsia="ko-KR"/>
              </w:rPr>
              <w:lastRenderedPageBreak/>
              <w:t>extension of ICBM what feMIMO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However, we share the view Model 3 requires many specification work to support inter-DU case. So, we may consider Model 2 could be the starting point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lang w:eastAsia="ko-KR"/>
              </w:rPr>
            </w:pPr>
            <w:r>
              <w:rPr>
                <w:rFonts w:eastAsia="Yu Mincho" w:hint="eastAsia"/>
                <w:lang w:eastAsia="ja-JP"/>
              </w:rPr>
              <w:lastRenderedPageBreak/>
              <w:t>S</w:t>
            </w:r>
            <w:r>
              <w:rPr>
                <w:rFonts w:eastAsia="Yu Mincho"/>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y considering to reduce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01"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65"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93AB8A" w14:textId="0DC19C03" w:rsidR="00631804" w:rsidRDefault="00631804" w:rsidP="00D059BC">
            <w:pPr>
              <w:pStyle w:val="a6"/>
              <w:rPr>
                <w:rFonts w:eastAsia="Yu Mincho" w:hint="eastAsia"/>
                <w:lang w:eastAsia="ja-JP"/>
              </w:rPr>
            </w:pPr>
            <w:r>
              <w:rPr>
                <w:rFonts w:eastAsia="Yu Mincho" w:hint="eastAsia"/>
                <w:lang w:eastAsia="ja-JP"/>
              </w:rPr>
              <w:t>ASUSTeK</w:t>
            </w:r>
          </w:p>
        </w:tc>
        <w:tc>
          <w:tcPr>
            <w:tcW w:w="1701"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65"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Huawei, HiSilicon</w:t>
            </w:r>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lastRenderedPageBreak/>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should also discuss whether to allow cell type change (e.g. PCell or SCell) for a cell configuration or cell group type (e.g. MCG or SCG) change for a cell group configuration via the L1/L2 mobility. </w:t>
            </w:r>
          </w:p>
        </w:tc>
      </w:tr>
    </w:tbl>
    <w:p w14:paraId="23451A01" w14:textId="77777777" w:rsidR="00CE599A" w:rsidRDefault="00CE599A">
      <w:pPr>
        <w:pStyle w:val="a6"/>
      </w:pPr>
    </w:p>
    <w:p w14:paraId="2D036E88" w14:textId="77777777" w:rsidR="00CE599A" w:rsidRDefault="00D12E1F">
      <w:pPr>
        <w:pStyle w:val="1"/>
      </w:pPr>
      <w:r>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AE97" w14:textId="77777777" w:rsidR="00EC511D" w:rsidRDefault="00EC511D">
      <w:pPr>
        <w:spacing w:after="0" w:line="240" w:lineRule="auto"/>
      </w:pPr>
      <w:r>
        <w:separator/>
      </w:r>
    </w:p>
  </w:endnote>
  <w:endnote w:type="continuationSeparator" w:id="0">
    <w:p w14:paraId="05E1A424" w14:textId="77777777" w:rsidR="00EC511D" w:rsidRDefault="00EC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57B27" w14:textId="6064C123" w:rsidR="006E5E02" w:rsidRDefault="006E5E0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6354E7">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6354E7">
      <w:rPr>
        <w:rStyle w:val="afe"/>
        <w:noProof/>
      </w:rPr>
      <w:t>24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1DAB9" w14:textId="77777777" w:rsidR="00EC511D" w:rsidRDefault="00EC511D">
      <w:pPr>
        <w:spacing w:after="0" w:line="240" w:lineRule="auto"/>
      </w:pPr>
      <w:r>
        <w:separator/>
      </w:r>
    </w:p>
  </w:footnote>
  <w:footnote w:type="continuationSeparator" w:id="0">
    <w:p w14:paraId="25EF69F4" w14:textId="77777777" w:rsidR="00EC511D" w:rsidRDefault="00EC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4"/>
  </w:num>
  <w:num w:numId="3">
    <w:abstractNumId w:val="1"/>
  </w:num>
  <w:num w:numId="4">
    <w:abstractNumId w:val="3"/>
  </w:num>
  <w:num w:numId="5">
    <w:abstractNumId w:val="2"/>
  </w:num>
  <w:num w:numId="6">
    <w:abstractNumId w:val="15"/>
  </w:num>
  <w:num w:numId="7">
    <w:abstractNumId w:val="0"/>
  </w:num>
  <w:num w:numId="8">
    <w:abstractNumId w:val="20"/>
  </w:num>
  <w:num w:numId="9">
    <w:abstractNumId w:val="8"/>
  </w:num>
  <w:num w:numId="10">
    <w:abstractNumId w:val="5"/>
  </w:num>
  <w:num w:numId="11">
    <w:abstractNumId w:val="10"/>
  </w:num>
  <w:num w:numId="12">
    <w:abstractNumId w:val="13"/>
  </w:num>
  <w:num w:numId="13">
    <w:abstractNumId w:val="19"/>
  </w:num>
  <w:num w:numId="14">
    <w:abstractNumId w:val="22"/>
  </w:num>
  <w:num w:numId="15">
    <w:abstractNumId w:val="14"/>
  </w:num>
  <w:num w:numId="16">
    <w:abstractNumId w:val="12"/>
  </w:num>
  <w:num w:numId="17">
    <w:abstractNumId w:val="7"/>
  </w:num>
  <w:num w:numId="18">
    <w:abstractNumId w:val="6"/>
  </w:num>
  <w:num w:numId="19">
    <w:abstractNumId w:val="21"/>
  </w:num>
  <w:num w:numId="20">
    <w:abstractNumId w:val="18"/>
  </w:num>
  <w:num w:numId="21">
    <w:abstractNumId w:val="17"/>
  </w:num>
  <w:num w:numId="22">
    <w:abstractNumId w:val="24"/>
  </w:num>
  <w:num w:numId="23">
    <w:abstractNumId w:val="11"/>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599A"/>
    <w:rsid w:val="00CE7561"/>
    <w:rsid w:val="00CF1354"/>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71">
    <w:name w:val="toc 7"/>
    <w:basedOn w:val="61"/>
    <w:next w:val="a1"/>
    <w:uiPriority w:val="39"/>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9">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標題 1 字元"/>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本文 字元"/>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註解方塊文字 字元"/>
    <w:link w:val="af0"/>
    <w:rPr>
      <w:rFonts w:ascii="Segoe UI" w:hAnsi="Segoe UI" w:cs="Segoe UI"/>
      <w:sz w:val="18"/>
      <w:szCs w:val="18"/>
      <w:lang w:eastAsia="ja-JP"/>
    </w:r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件引導模式 字元"/>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rPr>
      <w:rFonts w:ascii="Arial" w:hAnsi="Arial"/>
      <w:b/>
      <w:sz w:val="18"/>
      <w:lang w:eastAsia="ja-JP"/>
    </w:rPr>
  </w:style>
  <w:style w:type="character" w:customStyle="1" w:styleId="af4">
    <w:name w:val="頁尾 字元"/>
    <w:link w:val="af2"/>
    <w:rPr>
      <w:rFonts w:ascii="Arial" w:hAnsi="Arial"/>
      <w:b/>
      <w:i/>
      <w:sz w:val="18"/>
      <w:lang w:eastAsia="ja-JP"/>
    </w:rPr>
  </w:style>
  <w:style w:type="character" w:customStyle="1" w:styleId="af8">
    <w:name w:val="註腳文字 字元"/>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標題 2 字元"/>
    <w:link w:val="21"/>
    <w:rPr>
      <w:rFonts w:ascii="Arial" w:hAnsi="Arial"/>
      <w:sz w:val="32"/>
      <w:lang w:eastAsia="ja-JP"/>
    </w:rPr>
  </w:style>
  <w:style w:type="character" w:customStyle="1" w:styleId="32">
    <w:name w:val="標題 3 字元"/>
    <w:link w:val="31"/>
    <w:rPr>
      <w:rFonts w:ascii="Arial" w:hAnsi="Arial"/>
      <w:sz w:val="28"/>
      <w:lang w:eastAsia="ja-JP"/>
    </w:rPr>
  </w:style>
  <w:style w:type="character" w:customStyle="1" w:styleId="41">
    <w:name w:val="標題 4 字元"/>
    <w:link w:val="40"/>
    <w:rPr>
      <w:rFonts w:ascii="Arial" w:hAnsi="Arial"/>
      <w:sz w:val="24"/>
      <w:lang w:eastAsia="ja-JP"/>
    </w:rPr>
  </w:style>
  <w:style w:type="character" w:customStyle="1" w:styleId="51">
    <w:name w:val="標題 5 字元"/>
    <w:link w:val="50"/>
    <w:rPr>
      <w:rFonts w:ascii="Arial" w:hAnsi="Arial"/>
      <w:sz w:val="22"/>
      <w:lang w:eastAsia="ja-JP"/>
    </w:rPr>
  </w:style>
  <w:style w:type="character" w:customStyle="1" w:styleId="60">
    <w:name w:val="標題 6 字元"/>
    <w:link w:val="6"/>
    <w:rPr>
      <w:rFonts w:ascii="Arial" w:hAnsi="Arial"/>
      <w:lang w:eastAsia="ja-JP"/>
    </w:rPr>
  </w:style>
  <w:style w:type="character" w:customStyle="1" w:styleId="70">
    <w:name w:val="標題 7 字元"/>
    <w:link w:val="7"/>
    <w:rPr>
      <w:rFonts w:ascii="Arial" w:hAnsi="Arial"/>
      <w:lang w:eastAsia="ja-JP"/>
    </w:rPr>
  </w:style>
  <w:style w:type="character" w:customStyle="1" w:styleId="80">
    <w:name w:val="標題 8 字元"/>
    <w:link w:val="8"/>
    <w:rPr>
      <w:rFonts w:ascii="Arial" w:hAnsi="Arial"/>
      <w:sz w:val="36"/>
      <w:lang w:eastAsia="ja-JP"/>
    </w:rPr>
  </w:style>
  <w:style w:type="character" w:customStyle="1" w:styleId="90">
    <w:name w:val="標題 9 字元"/>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E61B59-BD13-4945-949A-1C6B1B8B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20</TotalTime>
  <Pages>24</Pages>
  <Words>9151</Words>
  <Characters>52167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ASUSTeK-Xinra</cp:lastModifiedBy>
  <cp:revision>7</cp:revision>
  <cp:lastPrinted>2008-01-31T17:09:00Z</cp:lastPrinted>
  <dcterms:created xsi:type="dcterms:W3CDTF">2022-09-22T08:43:00Z</dcterms:created>
  <dcterms:modified xsi:type="dcterms:W3CDTF">2022-09-22T09:03:00Z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