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26CAE"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[Post116bis-e][080][ePowSav] Open Issues (Mediatek)</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1"/>
        <w:overflowPunct w:val="0"/>
        <w:autoSpaceDE w:val="0"/>
        <w:autoSpaceDN w:val="0"/>
        <w:adjustRightInd w:val="0"/>
        <w:spacing w:before="0" w:after="120"/>
        <w:rPr>
          <w:rFonts w:eastAsia="新細明體" w:cs="Arial"/>
        </w:rPr>
      </w:pPr>
      <w:r w:rsidRPr="00626CAE">
        <w:rPr>
          <w:rFonts w:eastAsia="新細明體"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afa"/>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B05FD6">
            <w:pPr>
              <w:pStyle w:val="EmailDiscussion"/>
              <w:ind w:leftChars="265" w:left="943"/>
            </w:pPr>
            <w:r w:rsidRPr="00842FBA">
              <w:t>[Post116bis-e][080][ePowSav] Open Issues (Mediatek)</w:t>
            </w:r>
          </w:p>
          <w:p w14:paraId="2CF98144" w14:textId="77777777" w:rsidR="00141E3D" w:rsidRPr="00842FBA" w:rsidRDefault="00141E3D" w:rsidP="00141E3D">
            <w:pPr>
              <w:pStyle w:val="EmailDiscussion2"/>
              <w:ind w:leftChars="265" w:left="946"/>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141E3D">
            <w:pPr>
              <w:pStyle w:val="EmailDiscussion2"/>
              <w:ind w:leftChars="265" w:left="946"/>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141E3D">
            <w:pPr>
              <w:pStyle w:val="EmailDiscussion2"/>
              <w:ind w:leftChars="265" w:left="946"/>
              <w:rPr>
                <w:sz w:val="20"/>
                <w:szCs w:val="20"/>
              </w:rPr>
            </w:pPr>
            <w:r w:rsidRPr="00842FBA">
              <w:rPr>
                <w:sz w:val="20"/>
                <w:szCs w:val="20"/>
              </w:rPr>
              <w:tab/>
              <w:t>Deadline: Short</w:t>
            </w:r>
            <w:r w:rsidRPr="00842FBA">
              <w:rPr>
                <w:sz w:val="20"/>
                <w:szCs w:val="20"/>
              </w:rPr>
              <w:t xml:space="preserve"> (Jan 28 0800 UTC)</w:t>
            </w:r>
          </w:p>
        </w:tc>
      </w:tr>
    </w:tbl>
    <w:p w14:paraId="0461E3CC" w14:textId="3A6CAA9A" w:rsidR="00141E3D" w:rsidRPr="00626CAE" w:rsidRDefault="00141E3D" w:rsidP="004E5D4A">
      <w:pPr>
        <w:spacing w:after="120"/>
        <w:jc w:val="both"/>
        <w:rPr>
          <w:rFonts w:ascii="Arial" w:hAnsi="Arial" w:cs="Arial" w:hint="eastAsia"/>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141E3D">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1.       Company input into Pre117-e-offline (i.e. no company tdocs)</w:t>
      </w:r>
    </w:p>
    <w:p w14:paraId="2564F7F3" w14:textId="77777777" w:rsidR="00141E3D" w:rsidRPr="00626CAE" w:rsidRDefault="00141E3D" w:rsidP="00141E3D">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2.       Company tdocs invited.</w:t>
      </w:r>
    </w:p>
    <w:p w14:paraId="2D88E471" w14:textId="77777777" w:rsidR="00141E3D" w:rsidRPr="00626CAE" w:rsidRDefault="00141E3D" w:rsidP="00141E3D">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141E3D">
      <w:pPr>
        <w:spacing w:after="120"/>
        <w:ind w:leftChars="291" w:left="997"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13"/>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MediaTek</w:t>
            </w:r>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Li-Chuan TSENG &lt;li-chuan.tseng@mediatek.com&gt;</w:t>
            </w:r>
          </w:p>
        </w:tc>
      </w:tr>
      <w:tr w:rsidR="0045448E" w:rsidRPr="00626CA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77777777" w:rsidR="0045448E" w:rsidRPr="00626CAE" w:rsidRDefault="0045448E" w:rsidP="004E5D4A">
            <w:pPr>
              <w:spacing w:after="120"/>
              <w:jc w:val="both"/>
              <w:rPr>
                <w:rFonts w:ascii="Arial" w:hAnsi="Arial" w:cs="Arial"/>
                <w:sz w:val="20"/>
                <w:szCs w:val="20"/>
                <w:lang w:val="en-GB"/>
              </w:rPr>
            </w:pPr>
          </w:p>
        </w:tc>
        <w:tc>
          <w:tcPr>
            <w:tcW w:w="7649" w:type="dxa"/>
          </w:tcPr>
          <w:p w14:paraId="1E028F53" w14:textId="77777777"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77777777" w:rsidR="0045448E" w:rsidRPr="00626CAE" w:rsidRDefault="0045448E" w:rsidP="004E5D4A">
            <w:pPr>
              <w:spacing w:after="120"/>
              <w:jc w:val="both"/>
              <w:rPr>
                <w:rFonts w:ascii="Arial" w:hAnsi="Arial" w:cs="Arial"/>
                <w:sz w:val="20"/>
                <w:szCs w:val="20"/>
                <w:lang w:val="en-GB"/>
              </w:rPr>
            </w:pPr>
          </w:p>
        </w:tc>
        <w:tc>
          <w:tcPr>
            <w:tcW w:w="7649" w:type="dxa"/>
          </w:tcPr>
          <w:p w14:paraId="776FA984" w14:textId="77777777"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5448E"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Pr="00626CAE" w:rsidRDefault="0045448E" w:rsidP="004E5D4A">
            <w:pPr>
              <w:spacing w:after="120"/>
              <w:jc w:val="both"/>
              <w:rPr>
                <w:rFonts w:ascii="Arial" w:hAnsi="Arial" w:cs="Arial"/>
                <w:sz w:val="20"/>
                <w:szCs w:val="20"/>
                <w:lang w:val="en-GB"/>
              </w:rPr>
            </w:pPr>
          </w:p>
        </w:tc>
        <w:tc>
          <w:tcPr>
            <w:tcW w:w="7649" w:type="dxa"/>
          </w:tcPr>
          <w:p w14:paraId="71D87411" w14:textId="77777777"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Pr="00626CAE" w:rsidRDefault="0045448E" w:rsidP="004E5D4A">
      <w:pPr>
        <w:spacing w:after="120"/>
        <w:jc w:val="both"/>
        <w:rPr>
          <w:rFonts w:ascii="Arial" w:hAnsi="Arial" w:cs="Arial"/>
          <w:sz w:val="20"/>
          <w:szCs w:val="20"/>
          <w:lang w:val="en-GB"/>
        </w:rPr>
      </w:pPr>
    </w:p>
    <w:p w14:paraId="67652409" w14:textId="2AD85698" w:rsidR="00BC335A" w:rsidRPr="00626CAE" w:rsidRDefault="00CF75E9" w:rsidP="004E5D4A">
      <w:pPr>
        <w:pStyle w:val="1"/>
        <w:overflowPunct w:val="0"/>
        <w:autoSpaceDE w:val="0"/>
        <w:autoSpaceDN w:val="0"/>
        <w:adjustRightInd w:val="0"/>
        <w:spacing w:before="0" w:after="120"/>
        <w:rPr>
          <w:rFonts w:eastAsia="新細明體" w:cs="Arial"/>
        </w:rPr>
      </w:pPr>
      <w:r w:rsidRPr="00626CAE">
        <w:rPr>
          <w:rFonts w:eastAsia="新細明體" w:cs="Arial"/>
        </w:rPr>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afc"/>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 xml:space="preserve">OI 1.1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lastRenderedPageBreak/>
        <w:t xml:space="preserve">OI 1.2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Identify valid cases where UE is unable to monitor subgroup PEI configured by network.</w:t>
      </w:r>
      <w:r w:rsidRPr="00626CAE">
        <w:rPr>
          <w:rFonts w:ascii="Arial" w:hAnsi="Arial" w:cs="Arial"/>
          <w:sz w:val="20"/>
          <w:szCs w:val="20"/>
        </w:rPr>
        <w:t xml:space="preserve"> Then decide</w:t>
      </w:r>
      <w:r w:rsidRPr="00626CAE">
        <w:rPr>
          <w:rFonts w:ascii="Arial" w:hAnsi="Arial" w:cs="Arial"/>
          <w:sz w:val="20"/>
          <w:szCs w:val="20"/>
        </w:rPr>
        <w:t xml:space="preserve"> </w:t>
      </w:r>
      <w:r w:rsidRPr="00626CAE">
        <w:rPr>
          <w:rFonts w:ascii="Arial" w:hAnsi="Arial" w:cs="Arial"/>
          <w:sz w:val="20"/>
          <w:szCs w:val="20"/>
        </w:rPr>
        <w:t xml:space="preserve">if there </w:t>
      </w:r>
      <w:r w:rsidRPr="00626CAE">
        <w:rPr>
          <w:rFonts w:ascii="Arial" w:hAnsi="Arial" w:cs="Arial"/>
          <w:sz w:val="20"/>
          <w:szCs w:val="20"/>
        </w:rPr>
        <w:t>can be any rule for subgroup PEI monitoring, or UE simply monitor paging as per legacy</w:t>
      </w:r>
      <w:r w:rsidRPr="00626CAE">
        <w:rPr>
          <w:rFonts w:ascii="Arial" w:hAnsi="Arial" w:cs="Arial"/>
          <w:sz w:val="20"/>
          <w:szCs w:val="20"/>
        </w:rPr>
        <w:t>.</w:t>
      </w:r>
      <w:r w:rsidRPr="00626CAE">
        <w:rPr>
          <w:rFonts w:ascii="Arial" w:hAnsi="Arial" w:cs="Arial"/>
          <w:sz w:val="20"/>
          <w:szCs w:val="20"/>
        </w:rPr>
        <w:t xml:space="preserve">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afc"/>
        <w:numPr>
          <w:ilvl w:val="0"/>
          <w:numId w:val="9"/>
        </w:numPr>
        <w:spacing w:after="160" w:line="256" w:lineRule="auto"/>
        <w:rPr>
          <w:rFonts w:ascii="Arial" w:hAnsi="Arial" w:cs="Arial"/>
        </w:rPr>
      </w:pPr>
      <w:r w:rsidRPr="00626CAE">
        <w:rPr>
          <w:rFonts w:ascii="Arial" w:hAnsi="Arial" w:cs="Arial"/>
        </w:rPr>
        <w:t xml:space="preserve">UE belongs to k-th paging subgroup, where k = [floor (UE Identity/(N*Ns)) mod Nsg-UEID] + Nsg-CN,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Q</w:t>
      </w:r>
      <w:r w:rsidRPr="00626CAE">
        <w:rPr>
          <w:rFonts w:ascii="Arial" w:hAnsi="Arial" w:cs="Arial"/>
          <w:b/>
          <w:bCs/>
          <w:sz w:val="20"/>
          <w:szCs w:val="20"/>
        </w:rPr>
        <w:t>1</w:t>
      </w:r>
      <w:r w:rsidRPr="00626CAE">
        <w:rPr>
          <w:rFonts w:ascii="Arial" w:hAnsi="Arial" w:cs="Arial"/>
          <w:b/>
          <w:bCs/>
          <w:sz w:val="20"/>
          <w:szCs w:val="20"/>
        </w:rPr>
        <w:t xml:space="preserve">: </w:t>
      </w:r>
      <w:r w:rsidRPr="00626CAE">
        <w:rPr>
          <w:rFonts w:ascii="Arial" w:hAnsi="Arial" w:cs="Arial"/>
          <w:b/>
          <w:bCs/>
          <w:sz w:val="20"/>
          <w:szCs w:val="20"/>
        </w:rPr>
        <w:t xml:space="preserve">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13"/>
        <w:tblW w:w="0" w:type="auto"/>
        <w:tblLook w:val="04A0" w:firstRow="1" w:lastRow="0" w:firstColumn="1" w:lastColumn="0" w:noHBand="0" w:noVBand="1"/>
      </w:tblPr>
      <w:tblGrid>
        <w:gridCol w:w="1284"/>
        <w:gridCol w:w="572"/>
        <w:gridCol w:w="519"/>
        <w:gridCol w:w="495"/>
        <w:gridCol w:w="6759"/>
      </w:tblGrid>
      <w:tr w:rsidR="007E3716" w:rsidRPr="00626CAE" w14:paraId="77899DBD" w14:textId="77777777" w:rsidTr="007E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20"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306"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940"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7E3716">
        <w:tc>
          <w:tcPr>
            <w:cnfStyle w:val="001000000000" w:firstRow="0" w:lastRow="0" w:firstColumn="1" w:lastColumn="0" w:oddVBand="0" w:evenVBand="0" w:oddHBand="0" w:evenHBand="0" w:firstRowFirstColumn="0" w:firstRowLastColumn="0" w:lastRowFirstColumn="0" w:lastRowLastColumn="0"/>
            <w:tcW w:w="1288" w:type="dxa"/>
          </w:tcPr>
          <w:p w14:paraId="757555B7" w14:textId="77777777" w:rsidR="007E3716" w:rsidRPr="00626CAE" w:rsidRDefault="007E3716" w:rsidP="00AD62D2">
            <w:pPr>
              <w:spacing w:after="120"/>
              <w:rPr>
                <w:rFonts w:ascii="Arial" w:hAnsi="Arial" w:cs="Arial"/>
                <w:b w:val="0"/>
                <w:bCs w:val="0"/>
                <w:sz w:val="20"/>
                <w:szCs w:val="20"/>
                <w:lang w:val="en-GB"/>
              </w:rPr>
            </w:pPr>
          </w:p>
        </w:tc>
        <w:tc>
          <w:tcPr>
            <w:tcW w:w="575" w:type="dxa"/>
          </w:tcPr>
          <w:p w14:paraId="3166552D" w14:textId="77777777"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20" w:type="dxa"/>
          </w:tcPr>
          <w:p w14:paraId="7127AD04" w14:textId="77777777"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306" w:type="dxa"/>
          </w:tcPr>
          <w:p w14:paraId="1FE5D7FF" w14:textId="77777777"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3DDE7764" w14:textId="157AB7B2" w:rsidR="007E3716" w:rsidRPr="00626CAE" w:rsidRDefault="007E371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70F0BB67" w14:textId="00D42459"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afc"/>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Whether / how to address the delay required for updating a TRS/CSI-RS configuration due to the eDRX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Q</w:t>
      </w:r>
      <w:r w:rsidRPr="00626CAE">
        <w:rPr>
          <w:rFonts w:ascii="Arial" w:hAnsi="Arial" w:cs="Arial"/>
          <w:b/>
          <w:bCs/>
          <w:sz w:val="20"/>
          <w:szCs w:val="20"/>
        </w:rPr>
        <w:t>2</w:t>
      </w:r>
      <w:r w:rsidRPr="00626CAE">
        <w:rPr>
          <w:rFonts w:ascii="Arial" w:hAnsi="Arial" w:cs="Arial"/>
          <w:b/>
          <w:bCs/>
          <w:sz w:val="20"/>
          <w:szCs w:val="20"/>
        </w:rPr>
        <w:t xml:space="preserve">: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w:t>
      </w:r>
      <w:r w:rsidRPr="00626CAE">
        <w:rPr>
          <w:rFonts w:ascii="Arial" w:hAnsi="Arial" w:cs="Arial"/>
          <w:b/>
          <w:bCs/>
          <w:sz w:val="20"/>
          <w:szCs w:val="20"/>
        </w:rPr>
        <w:t>TRS/CSI-RS for Idle/inactive UE</w:t>
      </w:r>
      <w:r w:rsidRPr="00626CAE">
        <w:rPr>
          <w:rFonts w:ascii="Arial" w:hAnsi="Arial" w:cs="Arial"/>
          <w:b/>
          <w:bCs/>
          <w:sz w:val="20"/>
          <w:szCs w:val="20"/>
        </w:rPr>
        <w:t>?</w:t>
      </w:r>
    </w:p>
    <w:tbl>
      <w:tblPr>
        <w:tblStyle w:val="13"/>
        <w:tblW w:w="9634" w:type="dxa"/>
        <w:tblLook w:val="04A0" w:firstRow="1" w:lastRow="0" w:firstColumn="1" w:lastColumn="0" w:noHBand="0" w:noVBand="1"/>
      </w:tblPr>
      <w:tblGrid>
        <w:gridCol w:w="1284"/>
        <w:gridCol w:w="572"/>
        <w:gridCol w:w="519"/>
        <w:gridCol w:w="7259"/>
      </w:tblGrid>
      <w:tr w:rsidR="00370278" w:rsidRPr="00626CAE" w14:paraId="43519E57" w14:textId="77777777" w:rsidTr="00370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w:t>
            </w:r>
            <w:r w:rsidRPr="00626CAE">
              <w:rPr>
                <w:rFonts w:ascii="Arial" w:hAnsi="Arial" w:cs="Arial"/>
                <w:sz w:val="20"/>
                <w:szCs w:val="20"/>
                <w:lang w:val="en-GB"/>
              </w:rPr>
              <w:t>.1</w:t>
            </w:r>
          </w:p>
        </w:tc>
        <w:tc>
          <w:tcPr>
            <w:tcW w:w="519"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w:t>
            </w:r>
            <w:r w:rsidRPr="00626CAE">
              <w:rPr>
                <w:rFonts w:ascii="Arial" w:hAnsi="Arial" w:cs="Arial"/>
                <w:sz w:val="20"/>
                <w:szCs w:val="20"/>
                <w:lang w:val="en-GB"/>
              </w:rPr>
              <w:t>.2</w:t>
            </w:r>
          </w:p>
        </w:tc>
        <w:tc>
          <w:tcPr>
            <w:tcW w:w="7259"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370278">
        <w:tc>
          <w:tcPr>
            <w:cnfStyle w:val="001000000000" w:firstRow="0" w:lastRow="0" w:firstColumn="1" w:lastColumn="0" w:oddVBand="0" w:evenVBand="0" w:oddHBand="0" w:evenHBand="0" w:firstRowFirstColumn="0" w:firstRowLastColumn="0" w:lastRowFirstColumn="0" w:lastRowLastColumn="0"/>
            <w:tcW w:w="1284" w:type="dxa"/>
          </w:tcPr>
          <w:p w14:paraId="2D34385D" w14:textId="77777777" w:rsidR="00370278" w:rsidRPr="00626CAE" w:rsidRDefault="00370278" w:rsidP="00AD62D2">
            <w:pPr>
              <w:spacing w:after="120"/>
              <w:rPr>
                <w:rFonts w:ascii="Arial" w:hAnsi="Arial" w:cs="Arial"/>
                <w:b w:val="0"/>
                <w:bCs w:val="0"/>
                <w:sz w:val="20"/>
                <w:szCs w:val="20"/>
                <w:lang w:val="en-GB"/>
              </w:rPr>
            </w:pPr>
          </w:p>
        </w:tc>
        <w:tc>
          <w:tcPr>
            <w:tcW w:w="572" w:type="dxa"/>
          </w:tcPr>
          <w:p w14:paraId="47630992"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19" w:type="dxa"/>
          </w:tcPr>
          <w:p w14:paraId="3D731250"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7259"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afc"/>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afc"/>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Should UE report </w:t>
      </w:r>
      <w:r w:rsidR="002B7252" w:rsidRPr="00626CAE">
        <w:rPr>
          <w:rFonts w:ascii="Arial" w:hAnsi="Arial" w:cs="Arial"/>
          <w:sz w:val="20"/>
          <w:szCs w:val="20"/>
        </w:rPr>
        <w:t>fulfilment</w:t>
      </w:r>
      <w:r w:rsidR="002B7252" w:rsidRPr="00626CAE">
        <w:rPr>
          <w:rFonts w:ascii="Arial" w:hAnsi="Arial" w:cs="Arial"/>
          <w:sz w:val="20"/>
          <w:szCs w:val="20"/>
        </w:rPr>
        <w:t xml:space="preserve">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t>Q</w:t>
      </w:r>
      <w:r w:rsidRPr="00626CAE">
        <w:rPr>
          <w:rFonts w:ascii="Arial" w:hAnsi="Arial" w:cs="Arial"/>
          <w:b/>
          <w:bCs/>
          <w:sz w:val="20"/>
          <w:szCs w:val="20"/>
        </w:rPr>
        <w:t>3</w:t>
      </w:r>
      <w:r w:rsidRPr="00626CAE">
        <w:rPr>
          <w:rFonts w:ascii="Arial" w:hAnsi="Arial" w:cs="Arial"/>
          <w:b/>
          <w:bCs/>
          <w:sz w:val="20"/>
          <w:szCs w:val="20"/>
        </w:rPr>
        <w:t>: Do you agree with the open issue list and</w:t>
      </w:r>
      <w:r w:rsidR="00A8220B">
        <w:rPr>
          <w:rFonts w:ascii="Arial" w:hAnsi="Arial" w:cs="Arial"/>
          <w:b/>
          <w:bCs/>
          <w:sz w:val="20"/>
          <w:szCs w:val="20"/>
        </w:rPr>
        <w:t xml:space="preserve"> </w:t>
      </w:r>
      <w:r w:rsidR="00A8220B">
        <w:rPr>
          <w:rFonts w:ascii="Arial" w:hAnsi="Arial" w:cs="Arial"/>
          <w:b/>
          <w:bCs/>
          <w:sz w:val="20"/>
          <w:szCs w:val="20"/>
        </w:rPr>
        <w:t>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13"/>
        <w:tblW w:w="0" w:type="auto"/>
        <w:tblLook w:val="04A0" w:firstRow="1" w:lastRow="0" w:firstColumn="1" w:lastColumn="0" w:noHBand="0" w:noVBand="1"/>
      </w:tblPr>
      <w:tblGrid>
        <w:gridCol w:w="1284"/>
        <w:gridCol w:w="572"/>
        <w:gridCol w:w="519"/>
        <w:gridCol w:w="495"/>
        <w:gridCol w:w="6759"/>
      </w:tblGrid>
      <w:tr w:rsidR="00DB5113" w:rsidRPr="00626CAE" w14:paraId="5C8016D3" w14:textId="77777777" w:rsidTr="00AD6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w:t>
            </w:r>
            <w:r w:rsidRPr="00626CAE">
              <w:rPr>
                <w:rFonts w:ascii="Arial" w:hAnsi="Arial" w:cs="Arial"/>
                <w:sz w:val="20"/>
                <w:szCs w:val="20"/>
                <w:lang w:val="en-GB"/>
              </w:rPr>
              <w:t>.1</w:t>
            </w:r>
          </w:p>
        </w:tc>
        <w:tc>
          <w:tcPr>
            <w:tcW w:w="520"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w:t>
            </w:r>
            <w:r w:rsidRPr="00626CAE">
              <w:rPr>
                <w:rFonts w:ascii="Arial" w:hAnsi="Arial" w:cs="Arial"/>
                <w:sz w:val="20"/>
                <w:szCs w:val="20"/>
                <w:lang w:val="en-GB"/>
              </w:rPr>
              <w:t>.2</w:t>
            </w:r>
          </w:p>
        </w:tc>
        <w:tc>
          <w:tcPr>
            <w:tcW w:w="306"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w:t>
            </w:r>
            <w:r w:rsidRPr="00626CAE">
              <w:rPr>
                <w:rFonts w:ascii="Arial" w:hAnsi="Arial" w:cs="Arial"/>
                <w:sz w:val="20"/>
                <w:szCs w:val="20"/>
                <w:lang w:val="en-GB"/>
              </w:rPr>
              <w:t>.3</w:t>
            </w:r>
          </w:p>
        </w:tc>
        <w:tc>
          <w:tcPr>
            <w:tcW w:w="6940"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62D2">
        <w:tc>
          <w:tcPr>
            <w:cnfStyle w:val="001000000000" w:firstRow="0" w:lastRow="0" w:firstColumn="1" w:lastColumn="0" w:oddVBand="0" w:evenVBand="0" w:oddHBand="0" w:evenHBand="0" w:firstRowFirstColumn="0" w:firstRowLastColumn="0" w:lastRowFirstColumn="0" w:lastRowLastColumn="0"/>
            <w:tcW w:w="1288" w:type="dxa"/>
          </w:tcPr>
          <w:p w14:paraId="38F892F7" w14:textId="77777777" w:rsidR="00DB5113" w:rsidRPr="00626CAE" w:rsidRDefault="00DB5113" w:rsidP="00AD62D2">
            <w:pPr>
              <w:spacing w:after="120"/>
              <w:rPr>
                <w:rFonts w:ascii="Arial" w:hAnsi="Arial" w:cs="Arial"/>
                <w:b w:val="0"/>
                <w:bCs w:val="0"/>
                <w:sz w:val="20"/>
                <w:szCs w:val="20"/>
                <w:lang w:val="en-GB"/>
              </w:rPr>
            </w:pPr>
          </w:p>
        </w:tc>
        <w:tc>
          <w:tcPr>
            <w:tcW w:w="575" w:type="dxa"/>
          </w:tcPr>
          <w:p w14:paraId="332AE04D"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20" w:type="dxa"/>
          </w:tcPr>
          <w:p w14:paraId="0EEBCA42"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306" w:type="dxa"/>
          </w:tcPr>
          <w:p w14:paraId="06BB091E"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50596DC8" w14:textId="77777777" w:rsidR="00DB5113" w:rsidRPr="00626CAE" w:rsidRDefault="00DB5113"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afc"/>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afc"/>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Q</w:t>
      </w:r>
      <w:r w:rsidRPr="00626CAE">
        <w:rPr>
          <w:rFonts w:ascii="Arial" w:hAnsi="Arial" w:cs="Arial"/>
          <w:b/>
          <w:bCs/>
          <w:sz w:val="20"/>
          <w:szCs w:val="20"/>
        </w:rPr>
        <w:t>4</w:t>
      </w:r>
      <w:r w:rsidRPr="00626CAE">
        <w:rPr>
          <w:rFonts w:ascii="Arial" w:hAnsi="Arial" w:cs="Arial"/>
          <w:b/>
          <w:bCs/>
          <w:sz w:val="20"/>
          <w:szCs w:val="20"/>
        </w:rPr>
        <w:t xml:space="preserve">: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w:t>
      </w:r>
      <w:r w:rsidRPr="00626CAE">
        <w:rPr>
          <w:rFonts w:ascii="Arial" w:hAnsi="Arial" w:cs="Arial"/>
          <w:b/>
          <w:bCs/>
          <w:sz w:val="20"/>
          <w:szCs w:val="20"/>
        </w:rPr>
        <w:t>PDCCH skip</w:t>
      </w:r>
      <w:r w:rsidRPr="00626CAE">
        <w:rPr>
          <w:rFonts w:ascii="Arial" w:hAnsi="Arial" w:cs="Arial"/>
          <w:b/>
          <w:bCs/>
          <w:sz w:val="20"/>
          <w:szCs w:val="20"/>
        </w:rPr>
        <w:t>?</w:t>
      </w:r>
    </w:p>
    <w:tbl>
      <w:tblPr>
        <w:tblStyle w:val="13"/>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w:t>
            </w:r>
            <w:r w:rsidRPr="00626CAE">
              <w:rPr>
                <w:rFonts w:ascii="Arial" w:hAnsi="Arial" w:cs="Arial"/>
                <w:sz w:val="20"/>
                <w:szCs w:val="20"/>
                <w:lang w:val="en-GB"/>
              </w:rPr>
              <w:t>.1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77777777" w:rsidR="00061029" w:rsidRPr="00626CAE" w:rsidRDefault="00061029" w:rsidP="00AD62D2">
            <w:pPr>
              <w:spacing w:after="120"/>
              <w:rPr>
                <w:rFonts w:ascii="Arial" w:hAnsi="Arial" w:cs="Arial"/>
                <w:b w:val="0"/>
                <w:bCs w:val="0"/>
                <w:sz w:val="20"/>
                <w:szCs w:val="20"/>
                <w:lang w:val="en-GB"/>
              </w:rPr>
            </w:pPr>
          </w:p>
        </w:tc>
        <w:tc>
          <w:tcPr>
            <w:tcW w:w="572" w:type="dxa"/>
          </w:tcPr>
          <w:p w14:paraId="5C24F325" w14:textId="77777777" w:rsidR="00061029" w:rsidRPr="00626CAE" w:rsidRDefault="00061029"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7778" w:type="dxa"/>
          </w:tcPr>
          <w:p w14:paraId="1CF3EC61" w14:textId="77777777" w:rsidR="00061029" w:rsidRPr="00626CAE" w:rsidRDefault="00061029"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afc"/>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UE AS capabilities</w:t>
      </w:r>
      <w:r w:rsidR="00CC2D7D" w:rsidRPr="00DF7E85">
        <w:rPr>
          <w:rFonts w:ascii="Arial" w:hAnsi="Arial" w:cs="Arial"/>
          <w:sz w:val="20"/>
          <w:szCs w:val="20"/>
        </w:rPr>
        <w:t xml:space="preserve">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Q</w:t>
      </w:r>
      <w:r w:rsidRPr="00824B17">
        <w:rPr>
          <w:rFonts w:ascii="Arial" w:hAnsi="Arial" w:cs="Arial"/>
          <w:b/>
          <w:bCs/>
          <w:sz w:val="20"/>
          <w:szCs w:val="20"/>
        </w:rPr>
        <w:t>5</w:t>
      </w:r>
      <w:r w:rsidRPr="00824B17">
        <w:rPr>
          <w:rFonts w:ascii="Arial" w:hAnsi="Arial" w:cs="Arial"/>
          <w:b/>
          <w:bCs/>
          <w:sz w:val="20"/>
          <w:szCs w:val="20"/>
        </w:rPr>
        <w:t xml:space="preserve">: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ePowSav topics</w:t>
      </w:r>
      <w:r w:rsidRPr="00824B17">
        <w:rPr>
          <w:rFonts w:ascii="Arial" w:hAnsi="Arial" w:cs="Arial"/>
          <w:b/>
          <w:bCs/>
          <w:sz w:val="20"/>
          <w:szCs w:val="20"/>
        </w:rPr>
        <w:t>?</w:t>
      </w:r>
    </w:p>
    <w:tbl>
      <w:tblPr>
        <w:tblStyle w:val="13"/>
        <w:tblW w:w="0" w:type="auto"/>
        <w:tblLook w:val="04A0" w:firstRow="1" w:lastRow="0" w:firstColumn="1" w:lastColumn="0" w:noHBand="0" w:noVBand="1"/>
      </w:tblPr>
      <w:tblGrid>
        <w:gridCol w:w="1284"/>
        <w:gridCol w:w="572"/>
        <w:gridCol w:w="519"/>
        <w:gridCol w:w="495"/>
        <w:gridCol w:w="6759"/>
      </w:tblGrid>
      <w:tr w:rsidR="00824B17" w:rsidRPr="00626CAE" w14:paraId="497A82BA" w14:textId="77777777" w:rsidTr="00AD6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20"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306"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940"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824B17" w:rsidRPr="00626CAE" w14:paraId="4C6D203E" w14:textId="77777777" w:rsidTr="00AD62D2">
        <w:tc>
          <w:tcPr>
            <w:cnfStyle w:val="001000000000" w:firstRow="0" w:lastRow="0" w:firstColumn="1" w:lastColumn="0" w:oddVBand="0" w:evenVBand="0" w:oddHBand="0" w:evenHBand="0" w:firstRowFirstColumn="0" w:firstRowLastColumn="0" w:lastRowFirstColumn="0" w:lastRowLastColumn="0"/>
            <w:tcW w:w="1288" w:type="dxa"/>
          </w:tcPr>
          <w:p w14:paraId="7BF607C9" w14:textId="77777777" w:rsidR="00824B17" w:rsidRPr="00626CAE" w:rsidRDefault="00824B17" w:rsidP="00AD62D2">
            <w:pPr>
              <w:spacing w:after="120"/>
              <w:rPr>
                <w:rFonts w:ascii="Arial" w:hAnsi="Arial" w:cs="Arial"/>
                <w:b w:val="0"/>
                <w:bCs w:val="0"/>
                <w:sz w:val="20"/>
                <w:szCs w:val="20"/>
                <w:lang w:val="en-GB"/>
              </w:rPr>
            </w:pPr>
          </w:p>
        </w:tc>
        <w:tc>
          <w:tcPr>
            <w:tcW w:w="575" w:type="dxa"/>
          </w:tcPr>
          <w:p w14:paraId="2895B1A4" w14:textId="77777777" w:rsidR="00824B17" w:rsidRPr="00626CAE" w:rsidRDefault="00824B17"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20" w:type="dxa"/>
          </w:tcPr>
          <w:p w14:paraId="11CCB1BB" w14:textId="77777777" w:rsidR="00824B17" w:rsidRPr="00626CAE" w:rsidRDefault="00824B17"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306" w:type="dxa"/>
          </w:tcPr>
          <w:p w14:paraId="74CAFB8B" w14:textId="77777777" w:rsidR="00824B17" w:rsidRPr="00626CAE" w:rsidRDefault="00824B17"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2A20EE92" w14:textId="77777777" w:rsidR="00824B17" w:rsidRPr="00626CAE" w:rsidRDefault="00824B17"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1"/>
        <w:overflowPunct w:val="0"/>
        <w:autoSpaceDE w:val="0"/>
        <w:autoSpaceDN w:val="0"/>
        <w:adjustRightInd w:val="0"/>
        <w:spacing w:before="0" w:after="120"/>
        <w:rPr>
          <w:rFonts w:eastAsia="新細明體" w:cs="Arial"/>
        </w:rPr>
      </w:pPr>
      <w:r w:rsidRPr="00626CAE">
        <w:rPr>
          <w:rFonts w:eastAsia="新細明體"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1"/>
        <w:overflowPunct w:val="0"/>
        <w:autoSpaceDE w:val="0"/>
        <w:autoSpaceDN w:val="0"/>
        <w:adjustRightInd w:val="0"/>
        <w:spacing w:before="0" w:after="120"/>
        <w:rPr>
          <w:rFonts w:eastAsia="新細明體" w:cs="Arial"/>
        </w:rPr>
      </w:pPr>
      <w:r w:rsidRPr="00626CAE">
        <w:rPr>
          <w:rFonts w:eastAsia="新細明體" w:cs="Arial"/>
          <w:lang w:eastAsia="zh-TW"/>
        </w:rPr>
        <w:t>R</w:t>
      </w:r>
      <w:r w:rsidR="00A07E02" w:rsidRPr="00626CAE">
        <w:rPr>
          <w:rFonts w:eastAsia="新細明體"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EE464" w14:textId="77777777" w:rsidR="00B05FD6" w:rsidRDefault="00B05FD6">
      <w:pPr>
        <w:pStyle w:val="TAL"/>
      </w:pPr>
      <w:r>
        <w:separator/>
      </w:r>
    </w:p>
  </w:endnote>
  <w:endnote w:type="continuationSeparator" w:id="0">
    <w:p w14:paraId="22952697" w14:textId="77777777" w:rsidR="00B05FD6" w:rsidRDefault="00B05FD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CE574" w14:textId="77777777" w:rsidR="00B05FD6" w:rsidRDefault="00B05FD6">
      <w:pPr>
        <w:pStyle w:val="TAL"/>
      </w:pPr>
      <w:r>
        <w:separator/>
      </w:r>
    </w:p>
  </w:footnote>
  <w:footnote w:type="continuationSeparator" w:id="0">
    <w:p w14:paraId="3F6D37E7" w14:textId="77777777" w:rsidR="00B05FD6" w:rsidRDefault="00B05FD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uiPriority w:val="99"/>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paragraph" w:customStyle="1" w:styleId="EmailDiscussion2">
    <w:name w:val="EmailDiscussion2"/>
    <w:basedOn w:val="a"/>
    <w:uiPriority w:val="99"/>
    <w:qFormat/>
    <w:rsid w:val="0095148A"/>
    <w:pPr>
      <w:ind w:left="1622" w:hanging="363"/>
    </w:pPr>
    <w:rPr>
      <w:rFonts w:ascii="Arial" w:hAnsi="Arial" w:cs="Arial"/>
    </w:rPr>
  </w:style>
  <w:style w:type="character" w:customStyle="1" w:styleId="EmailDiscussionChar">
    <w:name w:val="EmailDiscussion Char"/>
    <w:basedOn w:val="a0"/>
    <w:link w:val="EmailDiscussion"/>
    <w:qFormat/>
    <w:locked/>
    <w:rsid w:val="0095148A"/>
    <w:rPr>
      <w:rFonts w:ascii="Arial" w:hAnsi="Arial" w:cs="Arial"/>
      <w:b/>
      <w:bCs/>
    </w:rPr>
  </w:style>
  <w:style w:type="paragraph" w:customStyle="1" w:styleId="EmailDiscussion">
    <w:name w:val="EmailDiscussion"/>
    <w:basedOn w:val="a"/>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20</cp:revision>
  <cp:lastPrinted>2007-12-21T04:58:00Z</cp:lastPrinted>
  <dcterms:created xsi:type="dcterms:W3CDTF">2022-01-19T02:12:00Z</dcterms:created>
  <dcterms:modified xsi:type="dcterms:W3CDTF">2022-01-26T14:38:00Z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