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Heading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hyperlink r:id="rId8" w:history="1">
              <w:r w:rsidR="007C3CF0" w:rsidRPr="007C3CF0">
                <w:rPr>
                  <w:rStyle w:val="Hyperlink"/>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r w:rsidRPr="00D23065">
              <w:rPr>
                <w:rFonts w:ascii="Times New Roman" w:hAnsi="Times New Roman"/>
                <w:lang w:val="en-US"/>
              </w:rPr>
              <w:t>ASUSTeK</w:t>
            </w:r>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r>
              <w:rPr>
                <w:rFonts w:ascii="Times New Roman" w:hAnsi="Times New Roman"/>
                <w:lang w:val="en-US"/>
              </w:rPr>
              <w:t>InterDigital</w:t>
            </w:r>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Faris Alfarhan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r>
              <w:rPr>
                <w:rFonts w:ascii="Times New Roman" w:hAnsi="Times New Roman"/>
                <w:lang w:val="en-US"/>
              </w:rPr>
              <w:t>Chunli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r>
              <w:rPr>
                <w:rFonts w:ascii="Times New Roman" w:hAnsi="Times New Roman"/>
                <w:lang w:val="en-US"/>
              </w:rPr>
              <w:t>Ruiming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r>
              <w:rPr>
                <w:rFonts w:ascii="Times New Roman" w:eastAsia="MS Mincho" w:hAnsi="Times New Roman" w:hint="eastAsia"/>
                <w:lang w:val="en-US" w:eastAsia="ja-JP"/>
              </w:rPr>
              <w:t>O</w:t>
            </w:r>
            <w:r>
              <w:rPr>
                <w:rFonts w:ascii="Times New Roman" w:eastAsia="MS Mincho" w:hAnsi="Times New Roman"/>
                <w:lang w:val="en-US" w:eastAsia="ja-JP"/>
              </w:rPr>
              <w:t>hta, Yoshiaki (</w:t>
            </w:r>
            <w:hyperlink r:id="rId9" w:history="1">
              <w:r w:rsidR="00A077F3" w:rsidRPr="00820512">
                <w:rPr>
                  <w:rStyle w:val="Hyperlink"/>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Huawei, HiSilicon</w:t>
            </w:r>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r>
              <w:rPr>
                <w:rFonts w:ascii="Times New Roman" w:eastAsiaTheme="minorEastAsia" w:hAnsi="Times New Roman" w:hint="eastAsia"/>
                <w:lang w:val="en-US"/>
              </w:rPr>
              <w:t>Y</w:t>
            </w:r>
            <w:r>
              <w:rPr>
                <w:rFonts w:ascii="Times New Roman" w:eastAsiaTheme="minorEastAsia" w:hAnsi="Times New Roman"/>
                <w:lang w:val="en-US"/>
              </w:rPr>
              <w:t>inghaoGuo (</w:t>
            </w:r>
            <w:hyperlink r:id="rId10" w:history="1">
              <w:r w:rsidR="00A033EA" w:rsidRPr="00D83010">
                <w:rPr>
                  <w:rStyle w:val="Hyperlink"/>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r>
              <w:rPr>
                <w:rFonts w:ascii="Times New Roman" w:hAnsi="Times New Roman"/>
                <w:lang w:val="en-US"/>
              </w:rPr>
              <w:t>Ansab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r>
              <w:rPr>
                <w:rFonts w:ascii="Times New Roman" w:hAnsi="Times New Roman"/>
                <w:lang w:val="en-US"/>
              </w:rPr>
              <w:t>Yumin Wu (wuyumin@xiaomi.com)</w:t>
            </w:r>
          </w:p>
        </w:tc>
      </w:tr>
    </w:tbl>
    <w:p w14:paraId="7EB4CE11" w14:textId="77777777" w:rsidR="0010032D" w:rsidRDefault="0010032D">
      <w:pPr>
        <w:pStyle w:val="3GPPText"/>
        <w:rPr>
          <w:lang w:val="sv-SE" w:eastAsia="zh-CN"/>
        </w:rPr>
      </w:pPr>
    </w:p>
    <w:p w14:paraId="79525B1B" w14:textId="77777777" w:rsidR="0010032D" w:rsidRDefault="001F2426">
      <w:pPr>
        <w:pStyle w:val="Heading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Heading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lastRenderedPageBreak/>
        <w:t xml:space="preserve">During the last R2 meeting, we have also agreed that retransmission on CG should at least supported for initial transmission. </w:t>
      </w:r>
    </w:p>
    <w:tbl>
      <w:tblPr>
        <w:tblStyle w:val="TableGrid"/>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Heading6"/>
      </w:pPr>
      <w:r>
        <w:rPr>
          <w:rFonts w:hint="eastAsia"/>
        </w:rPr>
        <w:t>Q</w:t>
      </w:r>
      <w:r>
        <w:t>uestion1: Do companies agree that RSRP-based TA validation should only be applicable for initial SDT transmission and its retransmission?</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maintanence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when ever normal TAT is started</w:t>
            </w:r>
            <w:r>
              <w:rPr>
                <w:lang w:val="en-US" w:eastAsia="zh-CN"/>
              </w:rPr>
              <w:t xml:space="preserve"> (and it can be restarted upon receiving RRCRelease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lastRenderedPageBreak/>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ot sure if the question reflects the intention of the modelator. As moderator points out, a</w:t>
            </w:r>
            <w:r w:rsidRPr="00FD2C8F">
              <w:rPr>
                <w:rFonts w:eastAsia="MS Mincho"/>
                <w:lang w:eastAsia="ja-JP"/>
              </w:rPr>
              <w:t>fter initial transmission, the TA validation can be totally took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intial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bl>
    <w:p w14:paraId="48E81BE0" w14:textId="77777777" w:rsidR="0010032D" w:rsidRDefault="001F2426">
      <w:pPr>
        <w:pStyle w:val="Heading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TableGrid"/>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7397D81" w14:textId="77777777" w:rsidR="0010032D" w:rsidRDefault="001F2426">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r>
              <w:rPr>
                <w:i/>
                <w:highlight w:val="yellow"/>
              </w:rPr>
              <w:t>absThreshSS-BlocksConsolidation</w:t>
            </w:r>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Heading6"/>
      </w:pPr>
      <w:r>
        <w:rPr>
          <w:rFonts w:hint="eastAsia"/>
        </w:rPr>
        <w:t>Q</w:t>
      </w:r>
      <w:r>
        <w:t>uestion2: Do companies agree that when the highest beam measurement is below the configured threshold, the beam with the highest beam measurement value is used for TA validation?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We can simply use the average of N best SSBs for RSRP based TA avalidation.</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when the highest beam measurement is below the configured threshold, it means none of the SSB’s RSRP is above the configured threshiold.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Therefore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r>
              <w:rPr>
                <w:lang w:eastAsia="zh-CN"/>
              </w:rPr>
              <w:t>InterDigital</w:t>
            </w:r>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uses RA-based SDT. </w:t>
            </w:r>
          </w:p>
          <w:p w14:paraId="0477C84D" w14:textId="77777777" w:rsidR="00D21560" w:rsidRPr="00085A5A" w:rsidRDefault="00D21560" w:rsidP="00D21560">
            <w:pPr>
              <w:rPr>
                <w:lang w:val="en-US" w:eastAsia="zh-CN"/>
              </w:rPr>
            </w:pPr>
            <w:r>
              <w:rPr>
                <w:lang w:eastAsia="zh-CN"/>
              </w:rPr>
              <w:t>This is inline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Same view with InterDigital.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Huawei, HiSIlicon</w:t>
            </w:r>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One thing that needs to be noted is that the threshold for beam consoliation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lastRenderedPageBreak/>
              <w:tab/>
              <w:t>RAN1 has also made the following agreement in R1#105.</w:t>
            </w:r>
          </w:p>
          <w:p w14:paraId="2E5BAB03" w14:textId="520EF8CF" w:rsidR="0016344C" w:rsidRPr="008762C4" w:rsidRDefault="0006663E" w:rsidP="0006663E">
            <w:pPr>
              <w:pStyle w:val="ListParagraph"/>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lastRenderedPageBreak/>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bl>
    <w:p w14:paraId="24B60EF6" w14:textId="77777777" w:rsidR="0010032D" w:rsidRDefault="001F2426">
      <w:pPr>
        <w:pStyle w:val="Heading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Heading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Heading6"/>
      </w:pPr>
      <w:r>
        <w:t>Question3: Do comapanies agree that the UE should maintain a CG-SDT-N_TA for CG-SDT, which can be different from the legacy N_TA?</w:t>
      </w:r>
    </w:p>
    <w:tbl>
      <w:tblPr>
        <w:tblStyle w:val="TableGrid"/>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lastRenderedPageBreak/>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CommentText"/>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general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r>
              <w:rPr>
                <w:lang w:eastAsia="zh-CN"/>
              </w:rPr>
              <w:t>InterDigital</w:t>
            </w:r>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 xml:space="preserve">Agree with others. CG-SDT-TAT is only for initial CG validation. After received NW response, legacy TA management works as already agreed, and it </w:t>
            </w:r>
            <w:r>
              <w:rPr>
                <w:lang w:eastAsia="zh-CN"/>
              </w:rPr>
              <w:lastRenderedPageBreak/>
              <w:t>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lastRenderedPageBreak/>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was not selected by the MAC entity among the contention-based Random Access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CommentReference"/>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bl>
    <w:p w14:paraId="327400CD" w14:textId="77777777" w:rsidR="0010032D" w:rsidRDefault="001F2426">
      <w:pPr>
        <w:pStyle w:val="Heading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TableGrid"/>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Heading6"/>
      </w:pPr>
      <w:r>
        <w:t>Question4: Do companies agree that the UE should apply the N_TA maintained for legacy RACH to CG-SDT-N_TA and stop maintaining N_TA at successful RACH completion?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RRCRelease), then the UE shall save the current N_TA value (in the UE stored configuration) and use it for the CG-SDT session. </w:t>
            </w:r>
            <w:r>
              <w:rPr>
                <w:rFonts w:hint="eastAsia"/>
                <w:lang w:val="en-US" w:eastAsia="zh-CN"/>
              </w:rPr>
              <w:t xml:space="preserve">If RACH procedure is initiated during SDT, then the N_TA will be </w:t>
            </w:r>
            <w:r>
              <w:rPr>
                <w:lang w:val="en-US" w:eastAsia="zh-CN"/>
              </w:rPr>
              <w:t>initialiesed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fter RACH is completed successfully, UE shall maintain the NTA received in RAR and retart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lastRenderedPageBreak/>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See Question 3. We assume that UE only maintains a single N_TA value. Question should be whether UE applies the TA command received in RAR or not. In the legacy UE ignores the TAC in RAR (CBRA) for cases that TAT is running. So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r>
              <w:rPr>
                <w:lang w:eastAsia="zh-CN"/>
              </w:rPr>
              <w:t>InterDigital</w:t>
            </w:r>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bl>
    <w:p w14:paraId="35E0E50E" w14:textId="77777777" w:rsidR="0010032D" w:rsidRDefault="001F2426">
      <w:pPr>
        <w:pStyle w:val="Heading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odSIB, legacy TAT is stopped, since it is no longer needed. </w:t>
      </w:r>
    </w:p>
    <w:p w14:paraId="1458D0C3" w14:textId="77777777" w:rsidR="0010032D" w:rsidRDefault="001F2426">
      <w:pPr>
        <w:pStyle w:val="Heading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TableGrid"/>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ListParagraph"/>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ListParagraph"/>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 xml:space="preserve">(on whether CG-SDT is </w:t>
            </w:r>
            <w:r>
              <w:rPr>
                <w:lang w:eastAsia="zh-CN"/>
              </w:rPr>
              <w:lastRenderedPageBreak/>
              <w:t>allowed for subsequent data)</w:t>
            </w:r>
          </w:p>
        </w:tc>
        <w:tc>
          <w:tcPr>
            <w:tcW w:w="7230" w:type="dxa"/>
          </w:tcPr>
          <w:p w14:paraId="38328469" w14:textId="77777777" w:rsidR="0010032D" w:rsidRDefault="001F2426">
            <w:pPr>
              <w:rPr>
                <w:lang w:eastAsia="zh-CN"/>
              </w:rPr>
            </w:pPr>
            <w:r>
              <w:rPr>
                <w:lang w:eastAsia="zh-CN"/>
              </w:rPr>
              <w:lastRenderedPageBreak/>
              <w:t xml:space="preserve">Firstly we want to clarify per our comment above that the question is mainly about what happens when the TAC is received from the network (this may </w:t>
            </w:r>
            <w:r>
              <w:rPr>
                <w:lang w:eastAsia="zh-CN"/>
              </w:rPr>
              <w:lastRenderedPageBreak/>
              <w:t xml:space="preserve">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otherhand,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Regarding to the CG-SDT-TAT, it should be restarted upon the TA COMMAND is received in an successfully completed RA procedure in the cell where the CG-SDT is received.</w:t>
            </w:r>
          </w:p>
          <w:p w14:paraId="2DC7D44F" w14:textId="13EA8890" w:rsidR="005662A8" w:rsidRDefault="005662A8" w:rsidP="005662A8">
            <w:pPr>
              <w:rPr>
                <w:lang w:eastAsia="zh-CN"/>
              </w:rPr>
            </w:pPr>
            <w:r>
              <w:rPr>
                <w:lang w:eastAsia="zh-CN"/>
              </w:rPr>
              <w:t>Regarding to the legacy TAT, if the the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The CG-SDT-TAT should be resrated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r>
              <w:rPr>
                <w:rFonts w:eastAsia="Malgun Gothic"/>
                <w:lang w:eastAsia="ko-KR"/>
              </w:rPr>
              <w:t>Yes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 xml:space="preserve">We agree with the moderator that CG-SDT-TAT is restarted at successful reception of the RACH procedure. We also think that legacy TAT can be stopped. Otherwise UE would need to maintain two different TAT(s) </w:t>
            </w:r>
            <w:r>
              <w:rPr>
                <w:rFonts w:eastAsia="Malgun Gothic"/>
                <w:lang w:eastAsia="ko-KR"/>
              </w:rPr>
              <w:lastRenderedPageBreak/>
              <w:t>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r>
              <w:rPr>
                <w:lang w:eastAsia="zh-CN"/>
              </w:rPr>
              <w:t>InterDigital</w:t>
            </w:r>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irst of all, it seems that companies have different views on the role of CG-SDT-TAT. According to RAN2#112-e agreement, CG-SDT-TAT is introduced to maintaint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The legacy TAT (i.e. timeAlignmentTimerCommon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We have similar comment as ZTE, i.e. it depends on the resolution to Question 7. If we do not allow CG-SDT for subeqeuent UL transmissions, then we can simply assume that the CG-SDT TAT timer is stopped after the initial UL msg is acked,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lastRenderedPageBreak/>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bl>
    <w:p w14:paraId="3ED233A5" w14:textId="77777777" w:rsidR="0010032D" w:rsidRDefault="001F2426">
      <w:pPr>
        <w:pStyle w:val="Heading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Heading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TableGrid"/>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NormalWeb"/>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3EF3A5DC" w14:textId="77777777" w:rsidR="0010032D" w:rsidRDefault="001F2426">
            <w:pPr>
              <w:pStyle w:val="NormalWeb"/>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r>
              <w:rPr>
                <w:i/>
              </w:rPr>
              <w:t>timeAlignmentTimer</w:t>
            </w:r>
            <w:r>
              <w:t>s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Heading6"/>
      </w:pPr>
      <w:r>
        <w:rPr>
          <w:lang w:val="en-US"/>
        </w:rPr>
        <w:t>Question</w:t>
      </w:r>
      <w:r>
        <w:t>6</w:t>
      </w:r>
      <w:r>
        <w:rPr>
          <w:lang w:val="en-US"/>
        </w:rPr>
        <w:t>: Do companies agree that UE should (a) clears all SDT configured grant, (b) flushe HARQ buffer and (c) stop maintaining CG-SDT-NTA upon expiry of CG-SDT-TAT</w:t>
      </w:r>
      <w:r>
        <w:t>?</w:t>
      </w:r>
    </w:p>
    <w:tbl>
      <w:tblPr>
        <w:tblStyle w:val="TableGrid"/>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lastRenderedPageBreak/>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maintainance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r>
              <w:rPr>
                <w:lang w:eastAsia="zh-CN"/>
              </w:rPr>
              <w:t>InterDigital</w:t>
            </w:r>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can be supported. For c), we think it is more appropriate to follow the legacy TAT behavior,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bl>
    <w:p w14:paraId="618C8E02" w14:textId="77777777" w:rsidR="0010032D" w:rsidRDefault="001F2426">
      <w:pPr>
        <w:pStyle w:val="Heading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Heading2"/>
        <w:rPr>
          <w:lang w:eastAsia="zh-CN"/>
        </w:rPr>
      </w:pPr>
      <w:r>
        <w:rPr>
          <w:rFonts w:hint="eastAsia"/>
          <w:lang w:eastAsia="zh-CN"/>
        </w:rPr>
        <w:lastRenderedPageBreak/>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TableGrid"/>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1B7294">
            <w:pPr>
              <w:pStyle w:val="Doc-title"/>
            </w:pPr>
            <w:hyperlink r:id="rId13" w:history="1">
              <w:r w:rsidR="001F2426">
                <w:rPr>
                  <w:rStyle w:val="Hyperlink"/>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t>NR_SmallData_INACTIVE-Core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 xml:space="preserve">hen, during RAN1#107, the issue has been discussed in R1 again and R1  couldn’t reach consensus on this again. </w:t>
      </w:r>
    </w:p>
    <w:tbl>
      <w:tblPr>
        <w:tblStyle w:val="TableGrid"/>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that a confirmation is needed at least for initial transmisison.</w:t>
      </w:r>
    </w:p>
    <w:tbl>
      <w:tblPr>
        <w:tblStyle w:val="TableGrid"/>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trnamission. </w:t>
      </w:r>
    </w:p>
    <w:p w14:paraId="76527CA6" w14:textId="77777777" w:rsidR="0010032D" w:rsidRDefault="001F2426">
      <w:pPr>
        <w:pStyle w:val="Heading6"/>
      </w:pPr>
      <w:r>
        <w:rPr>
          <w:rFonts w:hint="eastAsia"/>
        </w:rPr>
        <w:t>Q</w:t>
      </w:r>
      <w:r>
        <w:t>uestion7: Do companies think which option can be adopted for subsequent new transmission on CG-SDT?</w:t>
      </w:r>
    </w:p>
    <w:p w14:paraId="5584EAC8" w14:textId="77777777" w:rsidR="0010032D" w:rsidRDefault="001F2426">
      <w:pPr>
        <w:pStyle w:val="ListParagraph"/>
        <w:numPr>
          <w:ilvl w:val="0"/>
          <w:numId w:val="6"/>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14:paraId="672FEBDF" w14:textId="77777777" w:rsidR="0010032D" w:rsidRDefault="001F2426">
      <w:pPr>
        <w:pStyle w:val="ListParagraph"/>
        <w:numPr>
          <w:ilvl w:val="0"/>
          <w:numId w:val="6"/>
        </w:numPr>
        <w:rPr>
          <w:rFonts w:ascii="Times New Roman" w:hAnsi="Times New Roman"/>
          <w:b/>
          <w:i/>
          <w:lang w:eastAsia="zh-CN"/>
        </w:rPr>
      </w:pPr>
      <w:r>
        <w:rPr>
          <w:rFonts w:ascii="Times New Roman" w:eastAsiaTheme="minorEastAsia" w:hAnsi="Times New Roman"/>
          <w:b/>
          <w:i/>
          <w:lang w:eastAsia="zh-CN"/>
        </w:rPr>
        <w:t>OptionB: Stick to the previous agreement: subsequent new transmission on CG-SDT is supported. For the acknowledgement in subsequent CG-SDT, downselect from the following options:</w:t>
      </w:r>
    </w:p>
    <w:p w14:paraId="3478B576"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OptionB1: Imlicit ACK by dynamic scheduling of uplink new transmission (no spec change is needed)</w:t>
      </w:r>
    </w:p>
    <w:p w14:paraId="15D6357A" w14:textId="77777777" w:rsidR="0010032D" w:rsidRDefault="001F2426">
      <w:pPr>
        <w:pStyle w:val="ListParagraph"/>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lastRenderedPageBreak/>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cumborsume to support CG-SDT for subsequent transmission. </w:t>
            </w:r>
          </w:p>
          <w:p w14:paraId="6F9CD583" w14:textId="77777777" w:rsidR="0010032D" w:rsidRDefault="001F2426">
            <w:pPr>
              <w:rPr>
                <w:lang w:eastAsia="zh-CN"/>
              </w:rPr>
            </w:pPr>
            <w:r>
              <w:rPr>
                <w:lang w:eastAsia="zh-CN"/>
              </w:rPr>
              <w:t xml:space="preserve">Further, as noted above, the maintanece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ListParagraph"/>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ListParagraph"/>
              <w:numPr>
                <w:ilvl w:val="1"/>
                <w:numId w:val="10"/>
              </w:numPr>
              <w:rPr>
                <w:lang w:eastAsia="zh-CN"/>
              </w:rPr>
            </w:pPr>
            <w:r>
              <w:rPr>
                <w:lang w:eastAsia="zh-CN"/>
              </w:rPr>
              <w:t>Either to support some MAC CE based ACK or</w:t>
            </w:r>
          </w:p>
          <w:p w14:paraId="5B8CA639" w14:textId="77777777" w:rsidR="0010032D" w:rsidRDefault="001F2426">
            <w:pPr>
              <w:pStyle w:val="ListParagraph"/>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the transmissions in the first place anyway. It is also unclear how the DG will interact with the </w:t>
            </w:r>
            <w:r>
              <w:t xml:space="preserve">configuredGrantTimer in this case (i.e. will the configuredGrantTimer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a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TBs.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lastRenderedPageBreak/>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Firstly, we think it would be good to clarify what “subsequent new transmissions” means. We assume this refer to the case AFTER the initial UL transmission via CG-SDT has been successfully acknowledged by the gNB and the UE has new data to transmit. However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explcit feedback in the form of L1 ack means that the only real option is by way of MAC CE, which we agree with ZTE seems overkill for this purpose. We assume that the network can anyway schedule UL transmissions/retransmission via C-RNTI/CS-RNTI. Therefore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bl>
    <w:p w14:paraId="4DD74459" w14:textId="77777777" w:rsidR="0010032D" w:rsidRDefault="0010032D">
      <w:pPr>
        <w:rPr>
          <w:lang w:eastAsia="zh-CN"/>
        </w:rPr>
      </w:pPr>
    </w:p>
    <w:p w14:paraId="5665DCAD" w14:textId="77777777" w:rsidR="0010032D" w:rsidRDefault="001F2426">
      <w:pPr>
        <w:pStyle w:val="Heading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pahse of SDT.</w:t>
      </w:r>
    </w:p>
    <w:tbl>
      <w:tblPr>
        <w:tblStyle w:val="TableGrid"/>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lastRenderedPageBreak/>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14:paraId="1D04B5DC" w14:textId="77777777" w:rsidR="0010032D" w:rsidRDefault="001F2426">
      <w:pPr>
        <w:pStyle w:val="Heading6"/>
      </w:pPr>
      <w:r>
        <w:t>Question8: Do companies agree that we need to support retransmission on CG-SDT resource for subsequent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behavior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onsidering that the calculation on the HARQ process ID for liscensed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Our question is how to trigger retransmission for CG-SDT. Unlike IIoT in Rel-16, the UE can’t find that the transmission has failed. So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retransmssion.</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However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 xml:space="preserve">See above. Supporting retransmission on CG-SDT resource would require explicit NW feedback even if the TB has been successfully decoded which increases the NW overhead and makes CG rather useless if every transmission </w:t>
            </w:r>
            <w:r>
              <w:rPr>
                <w:lang w:eastAsia="zh-CN"/>
              </w:rPr>
              <w:lastRenderedPageBreak/>
              <w:t>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lastRenderedPageBreak/>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ased on the currenet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If subsequent trannsmissions using CG-SDT are supported, then we assume the same mechanism as for retransmission of the initial UL msg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bl>
    <w:p w14:paraId="3D031FEF" w14:textId="77777777" w:rsidR="0010032D" w:rsidRDefault="0010032D">
      <w:pPr>
        <w:rPr>
          <w:b/>
          <w:i/>
          <w:u w:val="single"/>
          <w:lang w:eastAsia="zh-CN"/>
        </w:rPr>
      </w:pPr>
    </w:p>
    <w:p w14:paraId="3BECE978" w14:textId="77777777" w:rsidR="0010032D" w:rsidRDefault="001F2426">
      <w:pPr>
        <w:pStyle w:val="Heading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trnamission should only happen after the reception of confirmation for initial transmission. Then, it should be investigated, whether for initial transmission, any downlink transmission after the initial trnamission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Heading6"/>
      </w:pPr>
      <w:r>
        <w:rPr>
          <w:rFonts w:hint="eastAsia"/>
        </w:rPr>
        <w:t>Q</w:t>
      </w:r>
      <w:r>
        <w:t>uestion9: Do companies think that subsequent downlink transmission can serve as an implicit acknowledgement for initial CG-SDT but not for subsequent CG-SDT?</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We want to have same behavior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ListParagraph"/>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w:t>
            </w:r>
            <w:r>
              <w:rPr>
                <w:lang w:eastAsia="zh-CN"/>
              </w:rPr>
              <w:lastRenderedPageBreak/>
              <w:t xml:space="preserve">network response can be treated as an implicit ACK for the first UL message and until the UE receives such ACK it can restransmit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sechedule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e prefer a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r>
              <w:t>Yes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r>
              <w:rPr>
                <w:rFonts w:eastAsia="PMingLiU"/>
                <w:lang w:eastAsia="zh-TW"/>
              </w:rPr>
              <w:t>Yes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bl>
    <w:p w14:paraId="5458DA44" w14:textId="77777777" w:rsidR="0010032D" w:rsidRDefault="001F2426">
      <w:pPr>
        <w:pStyle w:val="Heading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introduced whose duration is shorter than that of CGT, so that multiple CG retransmssions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Heading6"/>
      </w:pPr>
      <w:r>
        <w:rPr>
          <w:rFonts w:hint="eastAsia"/>
        </w:rPr>
        <w:lastRenderedPageBreak/>
        <w:t>Q</w:t>
      </w:r>
      <w:r>
        <w:t>uestion10: Do companies agree that configuredGrantTimer is reused for CG-SDT for prohibiting the HARQ process for new uplink transmissions?</w:t>
      </w:r>
    </w:p>
    <w:tbl>
      <w:tblPr>
        <w:tblStyle w:val="TableGrid"/>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bl>
    <w:p w14:paraId="3B280A40" w14:textId="77777777" w:rsidR="0010032D" w:rsidRDefault="001F2426">
      <w:pPr>
        <w:pStyle w:val="Heading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Heading3"/>
        <w:rPr>
          <w:lang w:eastAsia="zh-CN"/>
        </w:rPr>
      </w:pPr>
      <w:r>
        <w:rPr>
          <w:rFonts w:hint="eastAsia"/>
          <w:lang w:eastAsia="zh-CN"/>
        </w:rPr>
        <w:lastRenderedPageBreak/>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TableGrid"/>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Norm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Norm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Norm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Heading6"/>
      </w:pPr>
      <w:r>
        <w:rPr>
          <w:rFonts w:hint="eastAsia"/>
        </w:rPr>
        <w:t>Q</w:t>
      </w:r>
      <w:r>
        <w:t>uestion11: Do companies agree that the CG-SDT timer should be stopped when PDCCH addressed to C-RNTI and CS-RNTI is received?</w:t>
      </w:r>
    </w:p>
    <w:tbl>
      <w:tblPr>
        <w:tblStyle w:val="TableGrid"/>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r>
              <w:rPr>
                <w:rFonts w:eastAsia="Malgun Gothic"/>
                <w:lang w:eastAsia="ko-KR"/>
              </w:rPr>
              <w:t>InterDigital</w:t>
            </w:r>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lastRenderedPageBreak/>
              <w:t>Nokia</w:t>
            </w:r>
          </w:p>
        </w:tc>
        <w:tc>
          <w:tcPr>
            <w:tcW w:w="1301" w:type="dxa"/>
          </w:tcPr>
          <w:p w14:paraId="0E0C8FF5" w14:textId="6AA3E227" w:rsidR="00D631A9" w:rsidRDefault="00D631A9" w:rsidP="00D631A9">
            <w:pPr>
              <w:rPr>
                <w:rFonts w:eastAsia="Malgun Gothic"/>
                <w:lang w:eastAsia="ko-KR"/>
              </w:rPr>
            </w:pPr>
            <w:r>
              <w:rPr>
                <w:lang w:eastAsia="zh-CN"/>
              </w:rPr>
              <w:t>Yes</w:t>
            </w:r>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r w:rsidR="00930A33">
              <w:t>configuredGrantTimer</w:t>
            </w:r>
            <w:r>
              <w:t xml:space="preserve"> though</w:t>
            </w:r>
            <w:r w:rsidR="0062708C">
              <w:t>,</w:t>
            </w:r>
            <w:r w:rsidR="00930A33">
              <w:t xml:space="preserve"> then everything works like legac</w:t>
            </w:r>
            <w:r w:rsidR="00D57BBF">
              <w:t>y</w:t>
            </w:r>
            <w:r w:rsidR="00A87DE4">
              <w:t xml:space="preserve"> with conditions added for auto retx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It seems that companies have different understanding of the role of CG-SDT. We suggest to have common understanding on what the rold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It seems we are still not clear on the overall functionality of this timer. Assuming RAN2 does not support subsequent new tranmissions via CG-SDT, we do not think this timer is needed. Instead, a single timer for declaring SDT failure common for both RA-SDT and CG-SDT should be defined, which can be sufficient for detecting SDT failuire.</w:t>
            </w:r>
          </w:p>
          <w:p w14:paraId="31060371" w14:textId="58C60FD7" w:rsidR="00A033EA" w:rsidRDefault="00A033EA" w:rsidP="00A033EA">
            <w:pPr>
              <w:rPr>
                <w:rFonts w:eastAsiaTheme="minorEastAsia"/>
                <w:lang w:eastAsia="zh-CN"/>
              </w:rPr>
            </w:pPr>
            <w:r>
              <w:rPr>
                <w:rFonts w:eastAsia="PMingLiU"/>
                <w:lang w:eastAsia="zh-TW"/>
              </w:rPr>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bl>
    <w:p w14:paraId="516C76FA" w14:textId="77777777" w:rsidR="0010032D" w:rsidRDefault="0010032D">
      <w:pPr>
        <w:rPr>
          <w:lang w:eastAsia="zh-CN"/>
        </w:rPr>
      </w:pPr>
    </w:p>
    <w:p w14:paraId="491D24B2" w14:textId="77777777" w:rsidR="0010032D" w:rsidRDefault="001F2426">
      <w:pPr>
        <w:pStyle w:val="Heading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Heading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TableGrid"/>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lastRenderedPageBreak/>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Heading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TableGrid"/>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CommentText"/>
              <w:rPr>
                <w:lang w:val="en-US" w:eastAsia="zh-CN"/>
              </w:rPr>
            </w:pPr>
            <w:r>
              <w:rPr>
                <w:lang w:val="en-US" w:eastAsia="zh-CN"/>
              </w:rPr>
              <w:t xml:space="preserve">We need to first discuss whether we allow UE to select retransmission resource from different CG configuration. We think this is is not needed.  </w:t>
            </w:r>
          </w:p>
          <w:p w14:paraId="3AD06765" w14:textId="77777777" w:rsidR="0010032D" w:rsidRDefault="001F2426">
            <w:pPr>
              <w:pStyle w:val="CommentText"/>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CommentText"/>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CommentText"/>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CommentText"/>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CommentText"/>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CommentText"/>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CommentText"/>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We think the HARQ process ID should be the same between retransmission and initial transmission. But since the HARQ process ID is calculated by timing for SDT, we think the HARQ process ID is not shared between different CG configrautions like IIoT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We agree that the HARQ process ID has to be the same for initial transmission and retransmission. However, we are not sure about the relationship with SSB evaluation. Moreover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bl>
    <w:p w14:paraId="6354E88C" w14:textId="77777777" w:rsidR="0010032D" w:rsidRDefault="0010032D">
      <w:pPr>
        <w:rPr>
          <w:lang w:eastAsia="zh-CN"/>
        </w:rPr>
      </w:pPr>
    </w:p>
    <w:p w14:paraId="4B6A3EF1" w14:textId="77777777" w:rsidR="0010032D" w:rsidRDefault="001F2426">
      <w:pPr>
        <w:pStyle w:val="Heading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lastRenderedPageBreak/>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Heading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TableGrid"/>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The time between new transmission and retransmission might not be too long. So the channel condtion will be stable. Then, the benefits of reselction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r>
              <w:rPr>
                <w:rFonts w:eastAsia="Malgun Gothic"/>
                <w:lang w:eastAsia="ko-KR"/>
              </w:rPr>
              <w:t>InterDigital</w:t>
            </w:r>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We can not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For retransmission of the same initial UL msg, we do not think the duration is long enough that SSB needs to be reevaluated</w:t>
            </w:r>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bl>
    <w:p w14:paraId="0E3E9B2E" w14:textId="77777777" w:rsidR="0010032D" w:rsidRDefault="0010032D">
      <w:pPr>
        <w:rPr>
          <w:lang w:eastAsia="zh-CN"/>
        </w:rPr>
      </w:pPr>
    </w:p>
    <w:p w14:paraId="12D3E671" w14:textId="77777777" w:rsidR="0010032D" w:rsidRDefault="001F2426">
      <w:pPr>
        <w:pStyle w:val="Heading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TableGrid"/>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lastRenderedPageBreak/>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Heading6"/>
      </w:pPr>
      <w:r>
        <w:rPr>
          <w:rFonts w:hint="eastAsia"/>
        </w:rPr>
        <w:t>Q</w:t>
      </w:r>
      <w:r>
        <w:t>uestion14: Do companies think that the UE should use RA-SDT resources when there are no SSB available for subsequent new transmission?</w:t>
      </w:r>
    </w:p>
    <w:tbl>
      <w:tblPr>
        <w:tblStyle w:val="TableGrid"/>
        <w:tblW w:w="10060" w:type="dxa"/>
        <w:tblLayout w:type="fixed"/>
        <w:tblLook w:val="04A0" w:firstRow="1" w:lastRow="0" w:firstColumn="1" w:lastColumn="0" w:noHBand="0" w:noVBand="1"/>
      </w:tblPr>
      <w:tblGrid>
        <w:gridCol w:w="1519"/>
        <w:gridCol w:w="1490"/>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051"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In principle it would be also possible to use RACH-SDT for cases that there is no SSB above the configured threshold. However we don’t see much benefit compared to legacy RA procedure for this case. Therefore for simplicitly,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490" w:type="dxa"/>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r>
              <w:rPr>
                <w:szCs w:val="22"/>
                <w:lang w:eastAsia="zh-CN"/>
              </w:rPr>
              <w:t xml:space="preserve">benefitial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r>
              <w:rPr>
                <w:rFonts w:eastAsia="Malgun Gothic"/>
                <w:lang w:eastAsia="ko-KR"/>
              </w:rPr>
              <w:t>InterDigital</w:t>
            </w:r>
          </w:p>
        </w:tc>
        <w:tc>
          <w:tcPr>
            <w:tcW w:w="1490" w:type="dxa"/>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t>
            </w:r>
            <w:r w:rsidRPr="00A53CE7">
              <w:rPr>
                <w:iCs/>
              </w:rPr>
              <w:lastRenderedPageBreak/>
              <w:t>without much gain compare to just use normal RA resource. It is currently only checked upon initation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lastRenderedPageBreak/>
              <w:t>Qualcomm</w:t>
            </w:r>
          </w:p>
        </w:tc>
        <w:tc>
          <w:tcPr>
            <w:tcW w:w="1490" w:type="dxa"/>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As RAN2 has agreed, UE performs legacy RACH when there are no SSB available for subsequent new transmission. It is up to UE to select either RA-SDT resource or non RA-SDT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90" w:type="dxa"/>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bl>
    <w:p w14:paraId="00957F16" w14:textId="77777777" w:rsidR="0010032D" w:rsidRDefault="001F2426">
      <w:pPr>
        <w:pStyle w:val="Heading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TableGrid"/>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RRCRelease message is necessary. </w:t>
      </w:r>
    </w:p>
    <w:p w14:paraId="221019CE" w14:textId="77777777" w:rsidR="0010032D" w:rsidRDefault="001F2426">
      <w:pPr>
        <w:pStyle w:val="Heading6"/>
        <w:spacing w:before="0" w:after="0" w:line="360" w:lineRule="auto"/>
        <w:rPr>
          <w:sz w:val="20"/>
          <w:szCs w:val="20"/>
        </w:rPr>
      </w:pPr>
      <w:r>
        <w:rPr>
          <w:rFonts w:hint="eastAsia"/>
        </w:rPr>
        <w:t>Q</w:t>
      </w:r>
      <w:r>
        <w:t xml:space="preserve">uestion15: Do companies agree that CS-RNTI </w:t>
      </w:r>
      <w:r>
        <w:rPr>
          <w:rFonts w:eastAsiaTheme="minorEastAsia"/>
          <w:sz w:val="20"/>
          <w:szCs w:val="20"/>
        </w:rPr>
        <w:t>for CG-SDT is provided to the UE in RRCRelease message?</w:t>
      </w:r>
    </w:p>
    <w:tbl>
      <w:tblPr>
        <w:tblStyle w:val="TableGrid"/>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RRCRelease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lastRenderedPageBreak/>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802DFF8" w14:textId="77777777" w:rsidR="00C24D98" w:rsidRPr="00064311" w:rsidRDefault="00C24D98" w:rsidP="00BE01F3">
            <w:pPr>
              <w:rPr>
                <w:rFonts w:eastAsia="PMingLiU"/>
                <w:lang w:eastAsia="zh-TW"/>
              </w:rPr>
            </w:pPr>
            <w:r>
              <w:rPr>
                <w:rFonts w:eastAsia="PMingLiU" w:hint="eastAsia"/>
                <w:lang w:eastAsia="zh-TW"/>
              </w:rPr>
              <w:t>Yes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rovided via RRCRelease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r>
              <w:rPr>
                <w:rFonts w:eastAsia="MS Mincho" w:hint="eastAsia"/>
                <w:lang w:eastAsia="ja-JP"/>
              </w:rPr>
              <w:t>F</w:t>
            </w:r>
            <w:r>
              <w:rPr>
                <w:rFonts w:eastAsia="MS Mincho"/>
                <w:lang w:eastAsia="ja-JP"/>
              </w:rPr>
              <w:t>ujitu</w:t>
            </w:r>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We have the same view as LG that while it can be provided in RRCRelease msg,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Heading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Heading6"/>
      </w:pPr>
      <w:r>
        <w:rPr>
          <w:rFonts w:hint="eastAsia"/>
        </w:rPr>
        <w:t>Q</w:t>
      </w:r>
      <w:r>
        <w:t>uestion16: Do companies think the UE should perform UL carrier reselection for subsequent CG-SDT transmission over CG-SDT resources?</w:t>
      </w:r>
    </w:p>
    <w:tbl>
      <w:tblPr>
        <w:tblStyle w:val="TableGrid"/>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lastRenderedPageBreak/>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resitrcted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Heading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Heading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TableGrid"/>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r>
              <w:rPr>
                <w:rFonts w:eastAsia="Malgun Gothic"/>
                <w:lang w:eastAsia="ko-KR"/>
              </w:rPr>
              <w:lastRenderedPageBreak/>
              <w:t>InterDigital</w:t>
            </w:r>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In our view, a typical SDT session is “short” enough that reevaluation/reselection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Heading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TableGrid"/>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Heading6"/>
      </w:pPr>
      <w:r>
        <w:rPr>
          <w:rFonts w:hint="eastAsia"/>
        </w:rPr>
        <w:t>Q</w:t>
      </w:r>
      <w:r>
        <w:t>uestion18: Do companies think there is any restriction on the candidate values of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r>
              <w:rPr>
                <w:rFonts w:eastAsia="Malgun Gothic"/>
                <w:lang w:eastAsia="ko-KR"/>
              </w:rPr>
              <w:lastRenderedPageBreak/>
              <w:t>InterDigital</w:t>
            </w:r>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bl>
    <w:p w14:paraId="1975F68D" w14:textId="77777777" w:rsidR="0010032D" w:rsidRDefault="0010032D">
      <w:pPr>
        <w:rPr>
          <w:lang w:eastAsia="zh-CN"/>
        </w:rPr>
      </w:pPr>
    </w:p>
    <w:p w14:paraId="5D804FFE" w14:textId="77777777" w:rsidR="0010032D" w:rsidRDefault="001F2426">
      <w:pPr>
        <w:pStyle w:val="Heading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TableGrid"/>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Heading6"/>
      </w:pPr>
      <w:r>
        <w:rPr>
          <w:rFonts w:hint="eastAsia"/>
        </w:rPr>
        <w:t>Q</w:t>
      </w:r>
      <w:r>
        <w:t xml:space="preserve">uestion19: Do companies think </w:t>
      </w:r>
      <w:r>
        <w:rPr>
          <w:rFonts w:hint="eastAsia"/>
        </w:rPr>
        <w:t>that</w:t>
      </w:r>
      <w:r>
        <w:t xml:space="preserve"> multiple CG occasions can be configured per CG period?</w:t>
      </w:r>
    </w:p>
    <w:tbl>
      <w:tblPr>
        <w:tblStyle w:val="TableGrid"/>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r>
              <w:rPr>
                <w:rFonts w:eastAsia="Malgun Gothic"/>
                <w:lang w:eastAsia="ko-KR"/>
              </w:rPr>
              <w:t>InterDigital</w:t>
            </w:r>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lastRenderedPageBreak/>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We support multiple CG occasions for CG-PUSCH configurations. The main motivation is to reduce latency, especially when only 1 DMRS resource is configured in CG-PUSCH configuration. The design can reuse that for MsgA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rFonts w:hint="eastAsia"/>
                <w:lang w:eastAsia="zh-CN"/>
              </w:rPr>
            </w:pPr>
            <w:r>
              <w:t>No strong view</w:t>
            </w:r>
            <w:r>
              <w:rPr>
                <w:rFonts w:hint="eastAsia"/>
                <w:lang w:eastAsia="zh-CN"/>
              </w:rPr>
              <w:t>,</w:t>
            </w:r>
            <w:r>
              <w:rPr>
                <w:lang w:eastAsia="zh-CN"/>
              </w:rPr>
              <w:t xml:space="preserve"> but we would prefer not to change much in the resource allocation calculation in the MAC for CG.</w:t>
            </w:r>
            <w:bookmarkStart w:id="4" w:name="_GoBack"/>
            <w:bookmarkEnd w:id="4"/>
          </w:p>
        </w:tc>
      </w:tr>
    </w:tbl>
    <w:p w14:paraId="7CB5C820" w14:textId="77777777" w:rsidR="0010032D" w:rsidRDefault="0010032D">
      <w:pPr>
        <w:rPr>
          <w:lang w:eastAsia="zh-CN"/>
        </w:rPr>
      </w:pPr>
    </w:p>
    <w:p w14:paraId="64CB7A58" w14:textId="77777777" w:rsidR="0010032D" w:rsidRDefault="001F2426">
      <w:pPr>
        <w:pStyle w:val="Heading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Heading6"/>
      </w:pPr>
      <w:r>
        <w:rPr>
          <w:rFonts w:hint="eastAsia"/>
        </w:rPr>
        <w:t>Q</w:t>
      </w:r>
      <w:r>
        <w:t>uestion20: Do companies think there are other issues relating to CG-SDT?</w:t>
      </w:r>
    </w:p>
    <w:tbl>
      <w:tblPr>
        <w:tblStyle w:val="TableGrid"/>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 xml:space="preserve">Maintaining uplink timing alignment means that UE in RRC_INACTIVE (gradually) adjusts its uplink timing when there is a DL timing difference </w:t>
            </w:r>
            <w:r w:rsidRPr="00D43450">
              <w:lastRenderedPageBreak/>
              <w:t>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r w:rsidRPr="00D43450">
              <w:t>N</w:t>
            </w:r>
            <w:r w:rsidRPr="00A0183D">
              <w:rPr>
                <w:vertAlign w:val="subscript"/>
              </w:rPr>
              <w:t xml:space="preserve">TA,adjusted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lastRenderedPageBreak/>
              <w:t>Intel</w:t>
            </w:r>
          </w:p>
        </w:tc>
        <w:tc>
          <w:tcPr>
            <w:tcW w:w="8646" w:type="dxa"/>
          </w:tcPr>
          <w:p w14:paraId="19A28EEA" w14:textId="59E100A7" w:rsidR="00A033EA" w:rsidRDefault="00A033EA" w:rsidP="00A033EA">
            <w:pPr>
              <w:spacing w:afterLines="50"/>
            </w:pPr>
            <w:r>
              <w:rPr>
                <w:lang w:val="en-US" w:eastAsia="zh-CN"/>
              </w:rPr>
              <w:t>One aspect that has not yet been discussed in detail is on the provision of assistance information to the network for CG-SDT. Similar to LTE, we think providing this information to the gNB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r w:rsidRPr="00E914BC">
              <w:rPr>
                <w:i/>
                <w:iCs/>
                <w:lang w:val="en-US" w:eastAsia="zh-CN"/>
              </w:rPr>
              <w:t>PURConfiguationRequest</w:t>
            </w:r>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r w:rsidRPr="00775A28">
              <w:rPr>
                <w:i/>
                <w:iCs/>
                <w:lang w:val="en-US" w:eastAsia="zh-CN"/>
              </w:rPr>
              <w:t>requestedNumOccasions</w:t>
            </w:r>
            <w:r w:rsidRPr="007677B2">
              <w:rPr>
                <w:lang w:val="en-US" w:eastAsia="zh-CN"/>
              </w:rPr>
              <w:t xml:space="preserve"> and </w:t>
            </w:r>
            <w:r w:rsidRPr="00775A28">
              <w:rPr>
                <w:i/>
                <w:iCs/>
                <w:lang w:val="en-US" w:eastAsia="zh-CN"/>
              </w:rPr>
              <w:t>requestedPeriodicityAndOffset</w:t>
            </w:r>
            <w:r>
              <w:rPr>
                <w:lang w:val="en-US" w:eastAsia="zh-CN"/>
              </w:rPr>
              <w:t>).</w:t>
            </w:r>
          </w:p>
        </w:tc>
      </w:tr>
    </w:tbl>
    <w:p w14:paraId="0822AEAC" w14:textId="77777777" w:rsidR="0010032D" w:rsidRDefault="001F2426">
      <w:pPr>
        <w:pStyle w:val="Heading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Heading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uawei-YinghaoGuo" w:date="2021-12-16T20:53:00Z" w:initials="H">
    <w:p w14:paraId="760B24FD" w14:textId="20EA7D10" w:rsidR="00970F92" w:rsidRPr="002C7C23" w:rsidRDefault="00970F92">
      <w:pPr>
        <w:pStyle w:val="CommentText"/>
        <w:rPr>
          <w:lang w:eastAsia="zh-CN"/>
        </w:rPr>
      </w:pPr>
      <w:r>
        <w:rPr>
          <w:rStyle w:val="CommentReference"/>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CommentText"/>
      </w:pPr>
      <w:r>
        <w:t>“</w:t>
      </w:r>
      <w:r>
        <w:rPr>
          <w:u w:val="single"/>
        </w:rPr>
        <w:t>when the timing advance command is received</w:t>
      </w:r>
      <w:r>
        <w:t>”</w:t>
      </w:r>
    </w:p>
    <w:p w14:paraId="61E62DD0" w14:textId="77777777" w:rsidR="00E5799D" w:rsidRDefault="00E5799D">
      <w:pPr>
        <w:pStyle w:val="CommentText"/>
      </w:pPr>
    </w:p>
    <w:p w14:paraId="57633615" w14:textId="77777777" w:rsidR="00E5799D" w:rsidRDefault="00E5799D">
      <w:pPr>
        <w:pStyle w:val="CommentText"/>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0B24FD" w15:done="0"/>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F017" w14:textId="77777777" w:rsidR="001B7294" w:rsidRDefault="001B7294">
      <w:pPr>
        <w:spacing w:after="0" w:line="240" w:lineRule="auto"/>
      </w:pPr>
      <w:r>
        <w:separator/>
      </w:r>
    </w:p>
  </w:endnote>
  <w:endnote w:type="continuationSeparator" w:id="0">
    <w:p w14:paraId="5F0C4802" w14:textId="77777777" w:rsidR="001B7294" w:rsidRDefault="001B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B3254">
      <w:rPr>
        <w:rStyle w:val="CharChar2"/>
        <w:b/>
        <w:i/>
        <w:noProof/>
        <w:sz w:val="18"/>
      </w:rPr>
      <w:t>32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B3254">
      <w:rPr>
        <w:rStyle w:val="CharChar2"/>
        <w:b/>
        <w:i/>
        <w:noProof/>
        <w:sz w:val="18"/>
      </w:rPr>
      <w:t>33</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9CD16" w14:textId="77777777" w:rsidR="00A033EA" w:rsidRDefault="00A03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1B75F" w14:textId="77777777" w:rsidR="001B7294" w:rsidRDefault="001B7294">
      <w:pPr>
        <w:spacing w:after="0" w:line="240" w:lineRule="auto"/>
      </w:pPr>
      <w:r>
        <w:separator/>
      </w:r>
    </w:p>
  </w:footnote>
  <w:footnote w:type="continuationSeparator" w:id="0">
    <w:p w14:paraId="7352E4AE" w14:textId="77777777" w:rsidR="001B7294" w:rsidRDefault="001B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5C24" w14:textId="77777777" w:rsidR="00A033EA" w:rsidRDefault="00A03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4A95" w14:textId="77777777" w:rsidR="00A033EA" w:rsidRDefault="00A03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3"/>
  </w:num>
  <w:num w:numId="3">
    <w:abstractNumId w:val="11"/>
  </w:num>
  <w:num w:numId="4">
    <w:abstractNumId w:val="8"/>
  </w:num>
  <w:num w:numId="5">
    <w:abstractNumId w:val="10"/>
  </w:num>
  <w:num w:numId="6">
    <w:abstractNumId w:val="3"/>
  </w:num>
  <w:num w:numId="7">
    <w:abstractNumId w:val="1"/>
  </w:num>
  <w:num w:numId="8">
    <w:abstractNumId w:val="7"/>
  </w:num>
  <w:num w:numId="9">
    <w:abstractNumId w:val="9"/>
  </w:num>
  <w:num w:numId="10">
    <w:abstractNumId w:val="12"/>
  </w:num>
  <w:num w:numId="11">
    <w:abstractNumId w:val="0"/>
  </w:num>
  <w:num w:numId="12">
    <w:abstractNumId w:val="14"/>
  </w:num>
  <w:num w:numId="13">
    <w:abstractNumId w:val="4"/>
  </w:num>
  <w:num w:numId="14">
    <w:abstractNumId w:val="15"/>
  </w:num>
  <w:num w:numId="15">
    <w:abstractNumId w:val="5"/>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223B3"/>
    <w:rsid w:val="0002532F"/>
    <w:rsid w:val="00041BF8"/>
    <w:rsid w:val="0006663E"/>
    <w:rsid w:val="00070E73"/>
    <w:rsid w:val="00072D94"/>
    <w:rsid w:val="000801D1"/>
    <w:rsid w:val="00091BE1"/>
    <w:rsid w:val="000971D8"/>
    <w:rsid w:val="000B0B89"/>
    <w:rsid w:val="000B4737"/>
    <w:rsid w:val="000C5E87"/>
    <w:rsid w:val="000F6E9C"/>
    <w:rsid w:val="0010032D"/>
    <w:rsid w:val="001024ED"/>
    <w:rsid w:val="00121BDA"/>
    <w:rsid w:val="0013744B"/>
    <w:rsid w:val="0014096F"/>
    <w:rsid w:val="00150BE4"/>
    <w:rsid w:val="0016344C"/>
    <w:rsid w:val="00186C9F"/>
    <w:rsid w:val="00187B7C"/>
    <w:rsid w:val="001961F7"/>
    <w:rsid w:val="001A1C92"/>
    <w:rsid w:val="001B6953"/>
    <w:rsid w:val="001B69EB"/>
    <w:rsid w:val="001B7294"/>
    <w:rsid w:val="001C20A9"/>
    <w:rsid w:val="001F2426"/>
    <w:rsid w:val="001F252A"/>
    <w:rsid w:val="0020260C"/>
    <w:rsid w:val="002164E6"/>
    <w:rsid w:val="002207A1"/>
    <w:rsid w:val="00227166"/>
    <w:rsid w:val="00231603"/>
    <w:rsid w:val="00231658"/>
    <w:rsid w:val="00231F47"/>
    <w:rsid w:val="002820BA"/>
    <w:rsid w:val="00284B6A"/>
    <w:rsid w:val="002901C1"/>
    <w:rsid w:val="00293DAC"/>
    <w:rsid w:val="002C35B0"/>
    <w:rsid w:val="002C7C23"/>
    <w:rsid w:val="002E36AD"/>
    <w:rsid w:val="00303771"/>
    <w:rsid w:val="00311574"/>
    <w:rsid w:val="00311BFC"/>
    <w:rsid w:val="00326AAB"/>
    <w:rsid w:val="003401C8"/>
    <w:rsid w:val="003513C0"/>
    <w:rsid w:val="00372317"/>
    <w:rsid w:val="0039370F"/>
    <w:rsid w:val="0039404C"/>
    <w:rsid w:val="0039659E"/>
    <w:rsid w:val="003B22DF"/>
    <w:rsid w:val="003B3254"/>
    <w:rsid w:val="003C564A"/>
    <w:rsid w:val="003E0624"/>
    <w:rsid w:val="00402AA0"/>
    <w:rsid w:val="00416C03"/>
    <w:rsid w:val="00454484"/>
    <w:rsid w:val="0045698A"/>
    <w:rsid w:val="00460C7C"/>
    <w:rsid w:val="00466383"/>
    <w:rsid w:val="004E0A45"/>
    <w:rsid w:val="004E79E0"/>
    <w:rsid w:val="004F1A80"/>
    <w:rsid w:val="004F4FD5"/>
    <w:rsid w:val="00502926"/>
    <w:rsid w:val="00503F7F"/>
    <w:rsid w:val="00510431"/>
    <w:rsid w:val="00512EDC"/>
    <w:rsid w:val="00513E6B"/>
    <w:rsid w:val="0052022A"/>
    <w:rsid w:val="005248FF"/>
    <w:rsid w:val="00533598"/>
    <w:rsid w:val="00551D11"/>
    <w:rsid w:val="00555B18"/>
    <w:rsid w:val="00564DC9"/>
    <w:rsid w:val="00565663"/>
    <w:rsid w:val="005662A8"/>
    <w:rsid w:val="0057675B"/>
    <w:rsid w:val="005910F0"/>
    <w:rsid w:val="005A79FC"/>
    <w:rsid w:val="005C4146"/>
    <w:rsid w:val="005D3A8A"/>
    <w:rsid w:val="005E7AB3"/>
    <w:rsid w:val="005F4BB8"/>
    <w:rsid w:val="00606A22"/>
    <w:rsid w:val="00614C35"/>
    <w:rsid w:val="0062708C"/>
    <w:rsid w:val="00653CE3"/>
    <w:rsid w:val="006660DC"/>
    <w:rsid w:val="00667DD0"/>
    <w:rsid w:val="006707BF"/>
    <w:rsid w:val="00685384"/>
    <w:rsid w:val="006937D6"/>
    <w:rsid w:val="006C0B98"/>
    <w:rsid w:val="006D606A"/>
    <w:rsid w:val="006E74FF"/>
    <w:rsid w:val="00700554"/>
    <w:rsid w:val="00704923"/>
    <w:rsid w:val="00705562"/>
    <w:rsid w:val="00741640"/>
    <w:rsid w:val="007468C0"/>
    <w:rsid w:val="00774B2C"/>
    <w:rsid w:val="00797D73"/>
    <w:rsid w:val="007B2D02"/>
    <w:rsid w:val="007B3EBC"/>
    <w:rsid w:val="007C05B2"/>
    <w:rsid w:val="007C3CF0"/>
    <w:rsid w:val="007F1564"/>
    <w:rsid w:val="0081454A"/>
    <w:rsid w:val="00835394"/>
    <w:rsid w:val="00841185"/>
    <w:rsid w:val="0084643E"/>
    <w:rsid w:val="008503DC"/>
    <w:rsid w:val="0086056D"/>
    <w:rsid w:val="008762C4"/>
    <w:rsid w:val="00894BD1"/>
    <w:rsid w:val="008A341F"/>
    <w:rsid w:val="008B38E9"/>
    <w:rsid w:val="008B3C70"/>
    <w:rsid w:val="008C5855"/>
    <w:rsid w:val="008F76A9"/>
    <w:rsid w:val="0090063B"/>
    <w:rsid w:val="0091266A"/>
    <w:rsid w:val="00930A33"/>
    <w:rsid w:val="00931D62"/>
    <w:rsid w:val="0093669D"/>
    <w:rsid w:val="00954E0B"/>
    <w:rsid w:val="009625DA"/>
    <w:rsid w:val="00963FAC"/>
    <w:rsid w:val="00964E13"/>
    <w:rsid w:val="00970F92"/>
    <w:rsid w:val="00980E14"/>
    <w:rsid w:val="00991541"/>
    <w:rsid w:val="00996B8E"/>
    <w:rsid w:val="009A5E1D"/>
    <w:rsid w:val="009B016E"/>
    <w:rsid w:val="009B775D"/>
    <w:rsid w:val="009E2059"/>
    <w:rsid w:val="009E3857"/>
    <w:rsid w:val="00A033EA"/>
    <w:rsid w:val="00A071F1"/>
    <w:rsid w:val="00A077F3"/>
    <w:rsid w:val="00A30A5B"/>
    <w:rsid w:val="00A440AA"/>
    <w:rsid w:val="00A4618D"/>
    <w:rsid w:val="00A46D37"/>
    <w:rsid w:val="00A5293F"/>
    <w:rsid w:val="00A65F32"/>
    <w:rsid w:val="00A8071F"/>
    <w:rsid w:val="00A83402"/>
    <w:rsid w:val="00A87DE4"/>
    <w:rsid w:val="00AA3573"/>
    <w:rsid w:val="00AA5F26"/>
    <w:rsid w:val="00AD1ADD"/>
    <w:rsid w:val="00AD5ABA"/>
    <w:rsid w:val="00AD7624"/>
    <w:rsid w:val="00AE3E2E"/>
    <w:rsid w:val="00AE61DF"/>
    <w:rsid w:val="00AE635B"/>
    <w:rsid w:val="00AE7C4B"/>
    <w:rsid w:val="00B104A1"/>
    <w:rsid w:val="00B1726C"/>
    <w:rsid w:val="00B52079"/>
    <w:rsid w:val="00B54AA5"/>
    <w:rsid w:val="00B8274F"/>
    <w:rsid w:val="00B9702C"/>
    <w:rsid w:val="00BA037D"/>
    <w:rsid w:val="00BA7C3F"/>
    <w:rsid w:val="00BC00BA"/>
    <w:rsid w:val="00BC3E32"/>
    <w:rsid w:val="00BE01F3"/>
    <w:rsid w:val="00BE2300"/>
    <w:rsid w:val="00C03CDE"/>
    <w:rsid w:val="00C24D98"/>
    <w:rsid w:val="00C331F4"/>
    <w:rsid w:val="00C40CEF"/>
    <w:rsid w:val="00C4267F"/>
    <w:rsid w:val="00C475D7"/>
    <w:rsid w:val="00C645FC"/>
    <w:rsid w:val="00C76B23"/>
    <w:rsid w:val="00CA4ACE"/>
    <w:rsid w:val="00CB197B"/>
    <w:rsid w:val="00CC48B6"/>
    <w:rsid w:val="00CC7B1E"/>
    <w:rsid w:val="00CD70F5"/>
    <w:rsid w:val="00CF26C4"/>
    <w:rsid w:val="00D21560"/>
    <w:rsid w:val="00D5391E"/>
    <w:rsid w:val="00D551F1"/>
    <w:rsid w:val="00D56A21"/>
    <w:rsid w:val="00D57BBF"/>
    <w:rsid w:val="00D631A9"/>
    <w:rsid w:val="00D82A4B"/>
    <w:rsid w:val="00DA164E"/>
    <w:rsid w:val="00DC15F5"/>
    <w:rsid w:val="00DD5B2A"/>
    <w:rsid w:val="00DD5F82"/>
    <w:rsid w:val="00DE03BF"/>
    <w:rsid w:val="00DE5165"/>
    <w:rsid w:val="00DF108D"/>
    <w:rsid w:val="00E051AD"/>
    <w:rsid w:val="00E17DC6"/>
    <w:rsid w:val="00E3536A"/>
    <w:rsid w:val="00E36603"/>
    <w:rsid w:val="00E53BB5"/>
    <w:rsid w:val="00E545B4"/>
    <w:rsid w:val="00E5799D"/>
    <w:rsid w:val="00E719E4"/>
    <w:rsid w:val="00E8016E"/>
    <w:rsid w:val="00E806AE"/>
    <w:rsid w:val="00E935B6"/>
    <w:rsid w:val="00E97E4A"/>
    <w:rsid w:val="00EB6F3D"/>
    <w:rsid w:val="00EC0709"/>
    <w:rsid w:val="00EC1FA7"/>
    <w:rsid w:val="00EC5074"/>
    <w:rsid w:val="00ED7218"/>
    <w:rsid w:val="00F01731"/>
    <w:rsid w:val="00F4114B"/>
    <w:rsid w:val="00F56975"/>
    <w:rsid w:val="00F6186C"/>
    <w:rsid w:val="00F67A39"/>
    <w:rsid w:val="00F7169A"/>
    <w:rsid w:val="00F82E98"/>
    <w:rsid w:val="00F83B64"/>
    <w:rsid w:val="00F878E7"/>
    <w:rsid w:val="00F95756"/>
    <w:rsid w:val="00F978E9"/>
    <w:rsid w:val="00FA1162"/>
    <w:rsid w:val="00FA29E6"/>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宋体"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宋体"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
    <w:name w:val="Unresolved Mention"/>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openxmlformats.org/officeDocument/2006/relationships/hyperlink" Target="file:///C:\Users\panidx\OneDrive%20-%20InterDigital%20Communications,%20Inc\Documents\3GPP%20RAN\TSGR2_116-e\Docs\R2-2111219.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yinghaoguo@huawei.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ohta.yoshiaki@fujitsu.com" TargetMode="Externa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33</Pages>
  <Words>10814</Words>
  <Characters>61643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72313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 (Yumin)</cp:lastModifiedBy>
  <cp:revision>31</cp:revision>
  <dcterms:created xsi:type="dcterms:W3CDTF">2021-12-16T19:19:00Z</dcterms:created>
  <dcterms:modified xsi:type="dcterms:W3CDTF">2021-12-17T02:53:00Z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