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lang w:val="en-US"/>
        </w:rPr>
        <w:t>][</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Default="001F2426">
            <w:pPr>
              <w:pStyle w:val="TAC"/>
              <w:jc w:val="left"/>
              <w:rPr>
                <w:rFonts w:ascii="Times New Roman" w:hAnsi="Times New Roman"/>
                <w:lang w:val="en-US"/>
              </w:rPr>
            </w:pPr>
            <w:r>
              <w:rPr>
                <w:rFonts w:ascii="Times New Roman" w:hAnsi="Times New Roman" w:hint="eastAsia"/>
                <w:lang w:val="en-US"/>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hongming Zhang (Chongming.zhang@cn.sharp-world.com)</w:t>
            </w:r>
          </w:p>
        </w:tc>
      </w:tr>
      <w:tr w:rsidR="00963FAC"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Default="00963FAC">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ue Lin (linxue@oppo.com)</w:t>
            </w:r>
          </w:p>
        </w:tc>
      </w:tr>
      <w:tr w:rsidR="00150BE4"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hint="eastAsia"/>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3E530D63" w:rsidR="00150BE4" w:rsidRDefault="00150BE4">
            <w:pPr>
              <w:pStyle w:val="TAC"/>
              <w:jc w:val="left"/>
              <w:rPr>
                <w:rFonts w:ascii="Times New Roman" w:hAnsi="Times New Roman" w:hint="eastAsia"/>
                <w:lang w:val="en-US"/>
              </w:rPr>
            </w:pPr>
            <w:proofErr w:type="spellStart"/>
            <w:r>
              <w:rPr>
                <w:rFonts w:ascii="Times New Roman" w:hAnsi="Times New Roman"/>
                <w:lang w:val="en-US"/>
              </w:rPr>
              <w:t>Chandrika</w:t>
            </w:r>
            <w:proofErr w:type="spellEnd"/>
            <w:r>
              <w:rPr>
                <w:rFonts w:ascii="Times New Roman" w:hAnsi="Times New Roman"/>
                <w:lang w:val="en-US"/>
              </w:rPr>
              <w:t xml:space="preserve"> Worrall (chandrika@catt.cn)</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lastRenderedPageBreak/>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w:t>
            </w:r>
            <w:proofErr w:type="spellStart"/>
            <w:r>
              <w:rPr>
                <w:lang w:val="en-US" w:eastAsia="zh-CN"/>
              </w:rPr>
              <w:t>config</w:t>
            </w:r>
            <w:proofErr w:type="spellEnd"/>
            <w:r>
              <w:rPr>
                <w:lang w:val="en-US" w:eastAsia="zh-CN"/>
              </w:rPr>
              <w:t>)</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hint="eastAsia"/>
                <w:lang w:eastAsia="zh-CN"/>
              </w:rPr>
            </w:pPr>
            <w:r w:rsidRPr="007C39FA">
              <w:t>CATT</w:t>
            </w:r>
          </w:p>
        </w:tc>
        <w:tc>
          <w:tcPr>
            <w:tcW w:w="1179" w:type="dxa"/>
          </w:tcPr>
          <w:p w14:paraId="052414AD" w14:textId="0F700112" w:rsidR="00150BE4" w:rsidRDefault="00150BE4" w:rsidP="002164E6">
            <w:pPr>
              <w:rPr>
                <w:rFonts w:eastAsiaTheme="minorEastAsia" w:hint="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lastRenderedPageBreak/>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hint="eastAsia"/>
                <w:lang w:eastAsia="zh-CN"/>
              </w:rPr>
            </w:pPr>
            <w:r w:rsidRPr="00E037C7">
              <w:t>CATT</w:t>
            </w:r>
          </w:p>
        </w:tc>
        <w:tc>
          <w:tcPr>
            <w:tcW w:w="1301" w:type="dxa"/>
          </w:tcPr>
          <w:p w14:paraId="0BA80A29" w14:textId="69188498" w:rsidR="00150BE4" w:rsidRDefault="00150BE4" w:rsidP="002164E6">
            <w:pPr>
              <w:rPr>
                <w:rFonts w:eastAsiaTheme="minorEastAsia" w:hint="eastAsia"/>
                <w:lang w:eastAsia="zh-CN"/>
              </w:rPr>
            </w:pPr>
            <w:r w:rsidRPr="00E037C7">
              <w:t>No</w:t>
            </w:r>
          </w:p>
        </w:tc>
        <w:tc>
          <w:tcPr>
            <w:tcW w:w="7230" w:type="dxa"/>
          </w:tcPr>
          <w:p w14:paraId="489A8409" w14:textId="6CA3A0BF" w:rsidR="00150BE4" w:rsidRDefault="00150BE4" w:rsidP="002164E6">
            <w:pPr>
              <w:rPr>
                <w:lang w:eastAsia="zh-CN"/>
              </w:rPr>
            </w:pPr>
            <w:proofErr w:type="gramStart"/>
            <w:r w:rsidRPr="00E037C7">
              <w:t>when</w:t>
            </w:r>
            <w:proofErr w:type="gramEnd"/>
            <w:r w:rsidRPr="00E037C7">
              <w:t xml:space="preserve">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lastRenderedPageBreak/>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lastRenderedPageBreak/>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hint="eastAsia"/>
                <w:lang w:eastAsia="zh-CN"/>
              </w:rPr>
            </w:pPr>
            <w:r w:rsidRPr="00361685">
              <w:lastRenderedPageBreak/>
              <w:t>CATT</w:t>
            </w:r>
          </w:p>
        </w:tc>
        <w:tc>
          <w:tcPr>
            <w:tcW w:w="1301" w:type="dxa"/>
          </w:tcPr>
          <w:p w14:paraId="565F5DB3" w14:textId="18BB4BF9" w:rsidR="00150BE4" w:rsidRDefault="00150BE4" w:rsidP="0020260C">
            <w:pPr>
              <w:rPr>
                <w:rFonts w:eastAsiaTheme="minorEastAsia" w:hint="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w:t>
            </w:r>
            <w:r>
              <w:rPr>
                <w:rFonts w:eastAsiaTheme="minorEastAsia"/>
                <w:lang w:eastAsia="zh-CN"/>
              </w:rPr>
              <w:lastRenderedPageBreak/>
              <w:t xml:space="preserve">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hint="eastAsia"/>
                <w:lang w:eastAsia="zh-CN"/>
              </w:rPr>
            </w:pPr>
            <w:r w:rsidRPr="000B0054">
              <w:t>CATT</w:t>
            </w:r>
          </w:p>
        </w:tc>
        <w:tc>
          <w:tcPr>
            <w:tcW w:w="1301" w:type="dxa"/>
          </w:tcPr>
          <w:p w14:paraId="2BA967E0" w14:textId="02D155F3" w:rsidR="00150BE4" w:rsidRDefault="00150BE4" w:rsidP="001F2426">
            <w:pPr>
              <w:rPr>
                <w:rFonts w:eastAsiaTheme="minorEastAsia" w:hint="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Heading6"/>
      </w:pPr>
      <w:r>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w:t>
            </w:r>
            <w:r>
              <w:rPr>
                <w:lang w:eastAsia="zh-CN"/>
              </w:rPr>
              <w:lastRenderedPageBreak/>
              <w:t xml:space="preserve">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rFonts w:hint="eastAsia"/>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 xml:space="preserve">In this case, we agree to stop CG-SDT-TAT and </w:t>
            </w:r>
            <w:proofErr w:type="gramStart"/>
            <w:r>
              <w:rPr>
                <w:lang w:eastAsia="zh-CN"/>
              </w:rPr>
              <w:t>keep legacy</w:t>
            </w:r>
            <w:proofErr w:type="gramEnd"/>
            <w:r>
              <w:rPr>
                <w:lang w:eastAsia="zh-CN"/>
              </w:rPr>
              <w:t xml:space="preserve"> TAT running.</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w:t>
            </w:r>
            <w:proofErr w:type="spellStart"/>
            <w:r>
              <w:rPr>
                <w:lang w:eastAsia="zh-CN"/>
              </w:rPr>
              <w:t>fallback</w:t>
            </w:r>
            <w:proofErr w:type="spellEnd"/>
            <w:r>
              <w:rPr>
                <w:lang w:eastAsia="zh-CN"/>
              </w:rPr>
              <w:t xml:space="preserve">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hint="eastAsia"/>
                <w:lang w:eastAsia="zh-CN"/>
              </w:rPr>
            </w:pPr>
            <w:r w:rsidRPr="00BC590B">
              <w:t>CATT</w:t>
            </w:r>
          </w:p>
        </w:tc>
        <w:tc>
          <w:tcPr>
            <w:tcW w:w="1301" w:type="dxa"/>
          </w:tcPr>
          <w:p w14:paraId="7F5D5C06" w14:textId="4203C506" w:rsidR="00150BE4" w:rsidRDefault="00150BE4" w:rsidP="00EB6F3D">
            <w:pPr>
              <w:rPr>
                <w:rFonts w:eastAsiaTheme="minorEastAsia" w:hint="eastAsia"/>
                <w:lang w:eastAsia="zh-CN"/>
              </w:rPr>
            </w:pPr>
            <w:r w:rsidRPr="00BC590B">
              <w:t>No</w:t>
            </w:r>
          </w:p>
        </w:tc>
        <w:tc>
          <w:tcPr>
            <w:tcW w:w="7230" w:type="dxa"/>
          </w:tcPr>
          <w:p w14:paraId="3BA05528" w14:textId="25AA3EE3" w:rsidR="00150BE4" w:rsidRDefault="00150BE4" w:rsidP="00D56A21">
            <w:pPr>
              <w:rPr>
                <w:rFonts w:hint="eastAsia"/>
                <w:lang w:eastAsia="zh-CN"/>
              </w:rPr>
            </w:pPr>
            <w:r w:rsidRPr="00BC590B">
              <w:t>Same view as LG and Samsung.</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BC3E32">
            <w:pPr>
              <w:pStyle w:val="Doc-title"/>
            </w:pPr>
            <w:hyperlink r:id="rId10"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t>To:RAN2</w:t>
            </w:r>
          </w:p>
          <w:p w14:paraId="147EDA70" w14:textId="77777777" w:rsidR="0010032D" w:rsidRDefault="001F2426">
            <w:pPr>
              <w:pStyle w:val="Doc-text2"/>
            </w:pPr>
            <w:r>
              <w:rPr>
                <w:highlight w:val="yellow"/>
              </w:rPr>
              <w:lastRenderedPageBreak/>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lastRenderedPageBreak/>
        <w:t>T</w:t>
      </w:r>
      <w:r>
        <w:rPr>
          <w:lang w:eastAsia="zh-CN"/>
        </w:rPr>
        <w:t xml:space="preserve">hen, during RAN1#107, the issue has been discussed in R1 again and </w:t>
      </w:r>
      <w:proofErr w:type="gramStart"/>
      <w:r>
        <w:rPr>
          <w:lang w:eastAsia="zh-CN"/>
        </w:rPr>
        <w:t>R1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4FD7E260"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p>
        </w:tc>
        <w:tc>
          <w:tcPr>
            <w:tcW w:w="7230" w:type="dxa"/>
          </w:tcPr>
          <w:p w14:paraId="35BEDFCE" w14:textId="072AB432" w:rsidR="00503F7F" w:rsidRDefault="00503F7F" w:rsidP="00EB6F3D">
            <w:pPr>
              <w:rPr>
                <w:lang w:eastAsia="zh-CN"/>
              </w:rPr>
            </w:pPr>
            <w:r>
              <w:rPr>
                <w:rFonts w:hint="eastAsia"/>
                <w:lang w:eastAsia="zh-CN"/>
              </w:rPr>
              <w:t>W</w:t>
            </w:r>
            <w:r>
              <w:rPr>
                <w:lang w:eastAsia="zh-CN"/>
              </w:rPr>
              <w:t>e think both OptionB1 and OptionB2 can be agreed.</w:t>
            </w:r>
          </w:p>
        </w:tc>
      </w:tr>
      <w:tr w:rsidR="00150BE4" w14:paraId="613086D4" w14:textId="77777777">
        <w:tc>
          <w:tcPr>
            <w:tcW w:w="1429" w:type="dxa"/>
          </w:tcPr>
          <w:p w14:paraId="3E0DDFA2" w14:textId="2F04C0ED" w:rsidR="00150BE4" w:rsidRDefault="00150BE4" w:rsidP="00EB6F3D">
            <w:pPr>
              <w:rPr>
                <w:rFonts w:eastAsiaTheme="minorEastAsia" w:hint="eastAsia"/>
                <w:lang w:eastAsia="zh-CN"/>
              </w:rPr>
            </w:pPr>
            <w:r w:rsidRPr="00A3140F">
              <w:t>CATT</w:t>
            </w:r>
          </w:p>
        </w:tc>
        <w:tc>
          <w:tcPr>
            <w:tcW w:w="1301" w:type="dxa"/>
          </w:tcPr>
          <w:p w14:paraId="35492304" w14:textId="646A1C49" w:rsidR="00150BE4" w:rsidRDefault="00150BE4" w:rsidP="00EB6F3D">
            <w:pPr>
              <w:rPr>
                <w:rFonts w:eastAsiaTheme="minorEastAsia" w:hint="eastAsia"/>
                <w:lang w:eastAsia="zh-CN"/>
              </w:rPr>
            </w:pPr>
            <w:r w:rsidRPr="00A3140F">
              <w:t>B1</w:t>
            </w:r>
          </w:p>
        </w:tc>
        <w:tc>
          <w:tcPr>
            <w:tcW w:w="7230" w:type="dxa"/>
          </w:tcPr>
          <w:p w14:paraId="51D13023" w14:textId="55CC14B4" w:rsidR="00150BE4" w:rsidRDefault="00150BE4" w:rsidP="00EB6F3D">
            <w:pPr>
              <w:rPr>
                <w:rFonts w:hint="eastAsia"/>
                <w:lang w:eastAsia="zh-CN"/>
              </w:rPr>
            </w:pPr>
            <w:r w:rsidRPr="00A3140F">
              <w:t>We think defining one new MAC CE will introduce too much specification impacts and want to keep the spec simple.</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w:t>
      </w:r>
      <w:r>
        <w:rPr>
          <w:lang w:eastAsia="zh-CN"/>
        </w:rPr>
        <w:lastRenderedPageBreak/>
        <w:t xml:space="preserve">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hint="eastAsia"/>
                <w:lang w:eastAsia="zh-CN"/>
              </w:rPr>
            </w:pPr>
            <w:r w:rsidRPr="006055C8">
              <w:t>CATT</w:t>
            </w:r>
          </w:p>
        </w:tc>
        <w:tc>
          <w:tcPr>
            <w:tcW w:w="1301" w:type="dxa"/>
          </w:tcPr>
          <w:p w14:paraId="6C6A7148" w14:textId="7AB767A9" w:rsidR="00150BE4" w:rsidRDefault="00150BE4" w:rsidP="00EB6F3D">
            <w:pPr>
              <w:rPr>
                <w:rFonts w:eastAsiaTheme="minorEastAsia" w:hint="eastAsia"/>
                <w:lang w:eastAsia="zh-CN"/>
              </w:rPr>
            </w:pPr>
            <w:r w:rsidRPr="006055C8">
              <w:t>comments</w:t>
            </w:r>
          </w:p>
        </w:tc>
        <w:tc>
          <w:tcPr>
            <w:tcW w:w="7230" w:type="dxa"/>
          </w:tcPr>
          <w:p w14:paraId="4A88D5C9" w14:textId="6910AC76" w:rsidR="00150BE4" w:rsidRDefault="00150BE4" w:rsidP="00EB6F3D">
            <w:pPr>
              <w:rPr>
                <w:rFonts w:hint="eastAsia"/>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So the mechanism to trigger autonomous retransmission is based on timer, like Rel-16 NR-U. </w:t>
            </w:r>
            <w:proofErr w:type="gramStart"/>
            <w:r w:rsidRPr="006055C8">
              <w:t>if</w:t>
            </w:r>
            <w:proofErr w:type="gramEnd"/>
            <w:r w:rsidRPr="006055C8">
              <w:t xml:space="preserve"> NR-U mechanism is reused to trigger retransmission on CG-SDT resource, some mechanism is needed to stop the timer. So we think the same mechanism as licensed band in RRC_CONNECTED is used for subsequent CG-SDT transmission, i.e. network based </w:t>
            </w:r>
            <w:proofErr w:type="spellStart"/>
            <w:r w:rsidRPr="006055C8">
              <w:t>retransmssion</w:t>
            </w:r>
            <w:proofErr w:type="spellEnd"/>
            <w:r w:rsidRPr="006055C8">
              <w:t>.</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w:t>
            </w:r>
            <w:r>
              <w:rPr>
                <w:rFonts w:eastAsia="Malgun Gothic"/>
                <w:lang w:eastAsia="ko-KR"/>
              </w:rPr>
              <w:lastRenderedPageBreak/>
              <w:t xml:space="preserve">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tc>
          <w:tcPr>
            <w:tcW w:w="1429" w:type="dxa"/>
          </w:tcPr>
          <w:p w14:paraId="47BB6044"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tc>
          <w:tcPr>
            <w:tcW w:w="1429" w:type="dxa"/>
          </w:tcPr>
          <w:p w14:paraId="5A903183" w14:textId="36D1A237" w:rsidR="00150BE4" w:rsidRDefault="00150BE4" w:rsidP="0093669D">
            <w:pPr>
              <w:rPr>
                <w:rFonts w:eastAsiaTheme="minorEastAsia" w:hint="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40F05145" w:rsidR="00150BE4" w:rsidRDefault="00150BE4" w:rsidP="0093669D">
            <w:pPr>
              <w:rPr>
                <w:rFonts w:eastAsiaTheme="minorEastAsia"/>
                <w:lang w:eastAsia="zh-CN"/>
              </w:rPr>
            </w:pPr>
            <w:r w:rsidRPr="00DE754A">
              <w:t>This question is related to Q7. We think this is simple.</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w:t>
      </w:r>
      <w:proofErr w:type="gramStart"/>
      <w:r>
        <w:rPr>
          <w:lang w:eastAsia="zh-CN"/>
        </w:rPr>
        <w: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tc>
          <w:tcPr>
            <w:tcW w:w="1429" w:type="dxa"/>
          </w:tcPr>
          <w:p w14:paraId="02E238FE" w14:textId="77777777" w:rsidR="0010032D" w:rsidRDefault="001F2426">
            <w:pPr>
              <w:rPr>
                <w:rFonts w:eastAsia="Malgun Gothic"/>
                <w:lang w:eastAsia="ko-KR"/>
              </w:rPr>
            </w:pPr>
            <w:r>
              <w:rPr>
                <w:lang w:eastAsia="zh-CN"/>
              </w:rPr>
              <w:lastRenderedPageBreak/>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tc>
          <w:tcPr>
            <w:tcW w:w="1429" w:type="dxa"/>
          </w:tcPr>
          <w:p w14:paraId="39C98C4E" w14:textId="73B4566A" w:rsidR="00150BE4" w:rsidRDefault="00150BE4" w:rsidP="0093669D">
            <w:pPr>
              <w:rPr>
                <w:rFonts w:eastAsiaTheme="minorEastAsia" w:hint="eastAsia"/>
                <w:lang w:eastAsia="zh-CN"/>
              </w:rPr>
            </w:pPr>
            <w:r w:rsidRPr="001D7E71">
              <w:t>CATT</w:t>
            </w:r>
          </w:p>
        </w:tc>
        <w:tc>
          <w:tcPr>
            <w:tcW w:w="1301" w:type="dxa"/>
          </w:tcPr>
          <w:p w14:paraId="04184C8E" w14:textId="68640848" w:rsidR="00150BE4" w:rsidRDefault="00150BE4" w:rsidP="0093669D">
            <w:pPr>
              <w:rPr>
                <w:rFonts w:eastAsiaTheme="minorEastAsia" w:hint="eastAsia"/>
                <w:lang w:eastAsia="zh-CN"/>
              </w:rPr>
            </w:pPr>
            <w:r w:rsidRPr="001D7E71">
              <w:t xml:space="preserve">Yes </w:t>
            </w:r>
          </w:p>
        </w:tc>
        <w:tc>
          <w:tcPr>
            <w:tcW w:w="7230" w:type="dxa"/>
          </w:tcPr>
          <w:p w14:paraId="333D8A40" w14:textId="609EA206" w:rsidR="00150BE4" w:rsidRDefault="00150BE4" w:rsidP="0093669D">
            <w:pPr>
              <w:rPr>
                <w:rFonts w:hint="eastAsia"/>
                <w:lang w:eastAsia="zh-CN"/>
              </w:rPr>
            </w:pPr>
            <w:r w:rsidRPr="001D7E71">
              <w:t>We think after the initial transmission of CG-SDT, the transmission between the network and the UE has been setup, the network is aware of the UE. Then, the same mechanism as that in RRC_CONNECTED can be reused.</w:t>
            </w: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 xml:space="preserve">Then, the CG-SDT Timer should be stopped when the acknowledgement MAC CE is </w:t>
            </w:r>
            <w:r>
              <w:rPr>
                <w:rFonts w:eastAsia="Malgun Gothic"/>
                <w:lang w:eastAsia="ko-KR"/>
              </w:rPr>
              <w:lastRenderedPageBreak/>
              <w:t>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hint="eastAsia"/>
                <w:lang w:eastAsia="zh-CN"/>
              </w:rPr>
            </w:pPr>
            <w:r w:rsidRPr="009E0B25">
              <w:t>CATT</w:t>
            </w:r>
          </w:p>
        </w:tc>
        <w:tc>
          <w:tcPr>
            <w:tcW w:w="1301" w:type="dxa"/>
          </w:tcPr>
          <w:p w14:paraId="4AB5AA92" w14:textId="13847436" w:rsidR="00150BE4" w:rsidRDefault="00150BE4" w:rsidP="0093669D">
            <w:pPr>
              <w:rPr>
                <w:rFonts w:eastAsiaTheme="minorEastAsia" w:hint="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eastAsia="en-GB"/>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hint="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w:t>
            </w:r>
            <w:r w:rsidRPr="001521B1">
              <w:lastRenderedPageBreak/>
              <w:t xml:space="preserve">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hint="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So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 xml:space="preserve">G-SDT </w:t>
      </w:r>
      <w:proofErr w:type="spellStart"/>
      <w:r>
        <w:t>fallback</w:t>
      </w:r>
      <w:proofErr w:type="spellEnd"/>
    </w:p>
    <w:p w14:paraId="7D0FF331" w14:textId="77777777" w:rsidR="0010032D" w:rsidRDefault="001F2426">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lastRenderedPageBreak/>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rFonts w:hint="eastAsia"/>
                <w:lang w:eastAsia="zh-CN"/>
              </w:rPr>
            </w:pPr>
            <w:r w:rsidRPr="00652CD3">
              <w:t>CATT</w:t>
            </w:r>
          </w:p>
        </w:tc>
        <w:tc>
          <w:tcPr>
            <w:tcW w:w="1301" w:type="dxa"/>
          </w:tcPr>
          <w:p w14:paraId="4BC5D6AF" w14:textId="41F867C2" w:rsidR="00150BE4" w:rsidRDefault="00150BE4" w:rsidP="0093669D">
            <w:pPr>
              <w:rPr>
                <w:rFonts w:hint="eastAsia"/>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w:t>
            </w:r>
            <w:r>
              <w:rPr>
                <w:rFonts w:eastAsia="Malgun Gothic"/>
                <w:color w:val="000000"/>
                <w:lang w:eastAsia="ko-KR"/>
              </w:rPr>
              <w:lastRenderedPageBreak/>
              <w:t xml:space="preserve">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hint="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hint="eastAsia"/>
                <w:lang w:eastAsia="zh-CN"/>
              </w:rPr>
            </w:pPr>
            <w:r w:rsidRPr="00997D34">
              <w:t>CATT</w:t>
            </w:r>
          </w:p>
        </w:tc>
        <w:tc>
          <w:tcPr>
            <w:tcW w:w="1301" w:type="dxa"/>
          </w:tcPr>
          <w:p w14:paraId="77A86204" w14:textId="130D6771" w:rsidR="00150BE4" w:rsidRDefault="00150BE4" w:rsidP="0093669D">
            <w:pPr>
              <w:rPr>
                <w:rFonts w:eastAsiaTheme="minorEastAsia" w:hint="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lastRenderedPageBreak/>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hint="eastAsia"/>
                <w:lang w:eastAsia="zh-CN"/>
              </w:rPr>
            </w:pPr>
            <w:r w:rsidRPr="001B07CE">
              <w:t>CATT</w:t>
            </w:r>
          </w:p>
        </w:tc>
        <w:tc>
          <w:tcPr>
            <w:tcW w:w="1301" w:type="dxa"/>
          </w:tcPr>
          <w:p w14:paraId="4797B89E" w14:textId="209B057A" w:rsidR="00150BE4" w:rsidRDefault="00150BE4" w:rsidP="0093669D">
            <w:pPr>
              <w:rPr>
                <w:rFonts w:eastAsiaTheme="minorEastAsia" w:hint="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hint="eastAsia"/>
                <w:lang w:eastAsia="zh-CN"/>
              </w:rPr>
            </w:pPr>
            <w:r w:rsidRPr="00A07DAD">
              <w:t>CATT</w:t>
            </w:r>
          </w:p>
        </w:tc>
        <w:tc>
          <w:tcPr>
            <w:tcW w:w="1301" w:type="dxa"/>
          </w:tcPr>
          <w:p w14:paraId="2E069DED" w14:textId="0E1E805B" w:rsidR="00150BE4" w:rsidRDefault="00150BE4" w:rsidP="0093669D">
            <w:pPr>
              <w:rPr>
                <w:rFonts w:eastAsiaTheme="minorEastAsia" w:hint="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722FB96C"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64818D4" w14:textId="77777777" w:rsidR="00F82E98" w:rsidRDefault="00F82E98" w:rsidP="0093669D">
            <w:pPr>
              <w:keepNext/>
              <w:keepLines/>
              <w:spacing w:after="0"/>
              <w:rPr>
                <w:rFonts w:eastAsia="Arial"/>
                <w:color w:val="000000"/>
              </w:rPr>
            </w:pPr>
          </w:p>
        </w:tc>
      </w:tr>
      <w:tr w:rsidR="00150BE4" w14:paraId="134338BF" w14:textId="77777777">
        <w:tc>
          <w:tcPr>
            <w:tcW w:w="1529" w:type="dxa"/>
          </w:tcPr>
          <w:p w14:paraId="4C81C52D" w14:textId="5513F42E" w:rsidR="00150BE4" w:rsidRDefault="00150BE4" w:rsidP="0093669D">
            <w:pPr>
              <w:rPr>
                <w:rFonts w:eastAsiaTheme="minorEastAsia" w:hint="eastAsia"/>
                <w:lang w:eastAsia="zh-CN"/>
              </w:rPr>
            </w:pPr>
            <w:r w:rsidRPr="00D94DCF">
              <w:t>CATT</w:t>
            </w:r>
          </w:p>
        </w:tc>
        <w:tc>
          <w:tcPr>
            <w:tcW w:w="1301" w:type="dxa"/>
          </w:tcPr>
          <w:p w14:paraId="29763A32" w14:textId="798B67CB" w:rsidR="00150BE4" w:rsidRDefault="00150BE4" w:rsidP="0093669D">
            <w:pPr>
              <w:rPr>
                <w:rFonts w:eastAsiaTheme="minorEastAsia" w:hint="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bookmarkStart w:id="2" w:name="_GoBack"/>
      <w:bookmarkEnd w:id="2"/>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lastRenderedPageBreak/>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TE" w:date="2021-12-13T21:02:00Z" w:initials="ZTE">
    <w:p w14:paraId="651F2CF5" w14:textId="77777777" w:rsidR="001F2426" w:rsidRDefault="001F2426">
      <w:pPr>
        <w:pStyle w:val="CommentText"/>
      </w:pPr>
      <w:r>
        <w:t>“</w:t>
      </w:r>
      <w:r>
        <w:rPr>
          <w:u w:val="single"/>
        </w:rPr>
        <w:t>when the timing advance command is received</w:t>
      </w:r>
      <w:r>
        <w:t>”</w:t>
      </w:r>
    </w:p>
    <w:p w14:paraId="61E62DD0" w14:textId="77777777" w:rsidR="001F2426" w:rsidRDefault="001F2426">
      <w:pPr>
        <w:pStyle w:val="CommentText"/>
      </w:pPr>
    </w:p>
    <w:p w14:paraId="57633615" w14:textId="77777777" w:rsidR="001F2426" w:rsidRDefault="001F2426">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1F2426" w:rsidRDefault="001F242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B0C5B" w16cid:durableId="25634E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9CA0A" w14:textId="77777777" w:rsidR="00BC3E32" w:rsidRDefault="00BC3E32">
      <w:pPr>
        <w:spacing w:after="0" w:line="240" w:lineRule="auto"/>
      </w:pPr>
      <w:r>
        <w:separator/>
      </w:r>
    </w:p>
  </w:endnote>
  <w:endnote w:type="continuationSeparator" w:id="0">
    <w:p w14:paraId="3091D34D" w14:textId="77777777" w:rsidR="00BC3E32" w:rsidRDefault="00BC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4.2.0">
    <w:altName w:val="Times New Roman"/>
    <w:charset w:val="00"/>
    <w:family w:val="auto"/>
    <w:pitch w:val="default"/>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EFA74" w14:textId="77777777" w:rsidR="001F2426" w:rsidRDefault="001F242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F2426" w:rsidRDefault="001F2426">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A37E" w14:textId="75FAB4A7" w:rsidR="001F2426" w:rsidRDefault="001F242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50BE4">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50BE4">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CCFDB" w14:textId="77777777" w:rsidR="00BC3E32" w:rsidRDefault="00BC3E32">
      <w:pPr>
        <w:spacing w:after="0" w:line="240" w:lineRule="auto"/>
      </w:pPr>
      <w:r>
        <w:separator/>
      </w:r>
    </w:p>
  </w:footnote>
  <w:footnote w:type="continuationSeparator" w:id="0">
    <w:p w14:paraId="572C9105" w14:textId="77777777" w:rsidR="00BC3E32" w:rsidRDefault="00BC3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6E1B" w14:textId="77777777" w:rsidR="001F2426" w:rsidRDefault="001F24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41BF8"/>
    <w:rsid w:val="000B0B89"/>
    <w:rsid w:val="0010032D"/>
    <w:rsid w:val="00121BDA"/>
    <w:rsid w:val="0014096F"/>
    <w:rsid w:val="00150BE4"/>
    <w:rsid w:val="001B69EB"/>
    <w:rsid w:val="001C20A9"/>
    <w:rsid w:val="001F2426"/>
    <w:rsid w:val="0020260C"/>
    <w:rsid w:val="002164E6"/>
    <w:rsid w:val="002820BA"/>
    <w:rsid w:val="002E36AD"/>
    <w:rsid w:val="0039370F"/>
    <w:rsid w:val="003E0624"/>
    <w:rsid w:val="00503F7F"/>
    <w:rsid w:val="00564DC9"/>
    <w:rsid w:val="005662A8"/>
    <w:rsid w:val="005F4BB8"/>
    <w:rsid w:val="00667DD0"/>
    <w:rsid w:val="00705562"/>
    <w:rsid w:val="007B2D02"/>
    <w:rsid w:val="00894BD1"/>
    <w:rsid w:val="008A341F"/>
    <w:rsid w:val="0091266A"/>
    <w:rsid w:val="00931D62"/>
    <w:rsid w:val="0093669D"/>
    <w:rsid w:val="00954E0B"/>
    <w:rsid w:val="00963FAC"/>
    <w:rsid w:val="009A5E1D"/>
    <w:rsid w:val="00A46D37"/>
    <w:rsid w:val="00AD1ADD"/>
    <w:rsid w:val="00AE7C4B"/>
    <w:rsid w:val="00B1726C"/>
    <w:rsid w:val="00BC3E32"/>
    <w:rsid w:val="00D5391E"/>
    <w:rsid w:val="00D56A21"/>
    <w:rsid w:val="00DD5F82"/>
    <w:rsid w:val="00EB6F3D"/>
    <w:rsid w:val="00F7169A"/>
    <w:rsid w:val="00F82E98"/>
    <w:rsid w:val="00F83B64"/>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16-e\Docs\R2-2111219.zip"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CATT-116e</cp:lastModifiedBy>
  <cp:revision>3</cp:revision>
  <dcterms:created xsi:type="dcterms:W3CDTF">2021-12-14T09:51:00Z</dcterms:created>
  <dcterms:modified xsi:type="dcterms:W3CDTF">2021-12-14T09:59:00Z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