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D06497E"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w:t>
      </w:r>
      <w:r w:rsidR="00984FE3">
        <w:rPr>
          <w:b/>
          <w:sz w:val="24"/>
        </w:rPr>
        <w:t>bis</w:t>
      </w:r>
      <w:r w:rsidR="00106AC2" w:rsidRPr="00106AC2">
        <w:rPr>
          <w:b/>
          <w:sz w:val="24"/>
        </w:rPr>
        <w:t>-e</w:t>
      </w:r>
      <w:r>
        <w:rPr>
          <w:b/>
          <w:i/>
          <w:noProof/>
          <w:sz w:val="28"/>
        </w:rPr>
        <w:tab/>
      </w:r>
      <w:r w:rsidR="00106AC2">
        <w:rPr>
          <w:b/>
          <w:i/>
          <w:noProof/>
          <w:sz w:val="28"/>
        </w:rPr>
        <w:t>R2-</w:t>
      </w:r>
      <w:r w:rsidR="007916CE">
        <w:rPr>
          <w:b/>
          <w:i/>
          <w:noProof/>
          <w:sz w:val="28"/>
        </w:rPr>
        <w:t>2</w:t>
      </w:r>
      <w:r w:rsidR="00984FE3">
        <w:rPr>
          <w:b/>
          <w:i/>
          <w:noProof/>
          <w:sz w:val="28"/>
        </w:rPr>
        <w:t>2x</w:t>
      </w:r>
      <w:r w:rsidR="00482F60">
        <w:rPr>
          <w:b/>
          <w:i/>
          <w:noProof/>
          <w:sz w:val="28"/>
        </w:rPr>
        <w:t>xxxx</w:t>
      </w:r>
    </w:p>
    <w:p w14:paraId="7CB45193" w14:textId="357349DB"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984FE3">
        <w:rPr>
          <w:b/>
          <w:sz w:val="24"/>
        </w:rPr>
        <w:t>7</w:t>
      </w:r>
      <w:r w:rsidRPr="00106AC2">
        <w:rPr>
          <w:b/>
          <w:sz w:val="24"/>
        </w:rPr>
        <w:t xml:space="preserve"> – </w:t>
      </w:r>
      <w:r w:rsidR="00984FE3">
        <w:rPr>
          <w:b/>
          <w:sz w:val="24"/>
        </w:rPr>
        <w:t>25</w:t>
      </w:r>
      <w:r w:rsidRPr="00106AC2">
        <w:rPr>
          <w:b/>
          <w:sz w:val="24"/>
        </w:rPr>
        <w:t xml:space="preserve"> </w:t>
      </w:r>
      <w:r w:rsidR="00984FE3">
        <w:rPr>
          <w:b/>
          <w:sz w:val="24"/>
        </w:rPr>
        <w:t>January 2022</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7916CE">
              <w:rPr>
                <w:b/>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NB-IoT and eMTC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573229" w:rsidR="001E41F3" w:rsidRDefault="00106AC2" w:rsidP="007C661C">
            <w:pPr>
              <w:pStyle w:val="CRCoverPage"/>
              <w:spacing w:after="0"/>
              <w:ind w:left="100"/>
              <w:rPr>
                <w:noProof/>
              </w:rPr>
            </w:pPr>
            <w:r>
              <w:t>2021-10-</w:t>
            </w:r>
            <w:r w:rsidR="007C661C">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NB-IoT and eMTC</w:t>
            </w:r>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r w:rsidR="003C50D7">
              <w:rPr>
                <w:rFonts w:eastAsia="DengXian"/>
                <w:lang w:val="en-US" w:eastAsia="zh-CN"/>
              </w:rPr>
              <w:t xml:space="preserve"> (no impact)</w:t>
            </w:r>
          </w:p>
          <w:p w14:paraId="5FAFEE24" w14:textId="3ADE4FC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ins w:id="2" w:author="RAN2#116-e" w:date="2021-11-15T11:08:00Z">
              <w:r w:rsidR="00482F60">
                <w:rPr>
                  <w:rFonts w:eastAsia="DengXian"/>
                  <w:lang w:val="en-US" w:eastAsia="zh-CN"/>
                </w:rPr>
                <w:t>(no impact)</w:t>
              </w:r>
            </w:ins>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NB-IoT and eMTC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C37E"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del w:id="3" w:author="RAN2#116-e" w:date="2021-11-12T10:42:00Z">
              <w:r w:rsidR="00F47D6B" w:rsidDel="00832D04">
                <w:rPr>
                  <w:noProof/>
                </w:rPr>
                <w:delText>23.7a</w:delText>
              </w:r>
              <w:r w:rsidR="00E64F25" w:rsidDel="00832D04">
                <w:rPr>
                  <w:noProof/>
                </w:rPr>
                <w:delText xml:space="preserve">, </w:delText>
              </w:r>
            </w:del>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DC6056" w:rsidR="008863B9" w:rsidRDefault="00442271">
            <w:pPr>
              <w:pStyle w:val="CRCoverPage"/>
              <w:spacing w:after="0"/>
              <w:ind w:left="100"/>
              <w:rPr>
                <w:noProof/>
              </w:rPr>
            </w:pPr>
            <w:r w:rsidRPr="00442271">
              <w:rPr>
                <w:noProof/>
              </w:rPr>
              <w:t>R2-2110477</w:t>
            </w:r>
            <w:r>
              <w:rPr>
                <w:noProof/>
              </w:rPr>
              <w:t>: First endorsed version submitted at RAN2#116-e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1084EC14" w14:textId="77777777" w:rsidR="00F47D6B" w:rsidRDefault="00F47D6B" w:rsidP="00F47D6B">
      <w:pPr>
        <w:rPr>
          <w:lang w:eastAsia="ja-JP"/>
        </w:rPr>
      </w:pPr>
      <w:bookmarkStart w:id="4" w:name="_Toc20402703"/>
      <w:bookmarkStart w:id="5" w:name="_Toc29372209"/>
      <w:bookmarkStart w:id="6" w:name="_Toc37760147"/>
      <w:bookmarkStart w:id="7" w:name="_Toc46498381"/>
      <w:bookmarkStart w:id="8" w:name="_Toc52490694"/>
      <w:bookmarkStart w:id="9"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4"/>
      <w:bookmarkEnd w:id="5"/>
      <w:bookmarkEnd w:id="6"/>
      <w:bookmarkEnd w:id="7"/>
      <w:bookmarkEnd w:id="8"/>
      <w:bookmarkEnd w:id="9"/>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10"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11" w:author="RAN2#115-e" w:date="2021-09-16T11:38:00Z">
        <w:r>
          <w:rPr>
            <w:rFonts w:eastAsia="SimSun"/>
            <w:lang w:eastAsia="zh-CN"/>
          </w:rPr>
          <w:t xml:space="preserve">and </w:t>
        </w:r>
      </w:ins>
      <w:ins w:id="12" w:author="RAN2#115-e" w:date="2021-09-16T15:20:00Z">
        <w:r w:rsidR="00F47D6B">
          <w:rPr>
            <w:rFonts w:eastAsia="SimSun"/>
            <w:lang w:eastAsia="zh-CN"/>
          </w:rPr>
          <w:t>optiona</w:t>
        </w:r>
      </w:ins>
      <w:ins w:id="13" w:author="RAN2#115-e" w:date="2021-09-16T15:21:00Z">
        <w:r w:rsidR="00F47D6B">
          <w:rPr>
            <w:rFonts w:eastAsia="SimSun"/>
            <w:lang w:eastAsia="zh-CN"/>
          </w:rPr>
          <w:t>l</w:t>
        </w:r>
      </w:ins>
      <w:ins w:id="14" w:author="RAN2#115-e" w:date="2021-09-16T15:20:00Z">
        <w:r w:rsidR="00F47D6B">
          <w:rPr>
            <w:rFonts w:eastAsia="SimSun"/>
            <w:lang w:eastAsia="zh-CN"/>
          </w:rPr>
          <w:t xml:space="preserve">ly </w:t>
        </w:r>
      </w:ins>
      <w:ins w:id="15"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16" w:name="_Toc20402833"/>
      <w:bookmarkStart w:id="17" w:name="_Toc29372339"/>
      <w:bookmarkStart w:id="18" w:name="_Toc37760291"/>
      <w:bookmarkStart w:id="19" w:name="_Toc46498527"/>
      <w:bookmarkStart w:id="20" w:name="_Toc52490840"/>
      <w:bookmarkStart w:id="21" w:name="_Toc76424874"/>
      <w:r w:rsidRPr="00FC3C25">
        <w:t>10.1.3</w:t>
      </w:r>
      <w:r w:rsidRPr="00FC3C25">
        <w:tab/>
        <w:t>Measurements</w:t>
      </w:r>
      <w:bookmarkEnd w:id="16"/>
      <w:bookmarkEnd w:id="17"/>
      <w:bookmarkEnd w:id="18"/>
      <w:bookmarkEnd w:id="19"/>
      <w:bookmarkEnd w:id="20"/>
      <w:bookmarkEnd w:id="21"/>
    </w:p>
    <w:p w14:paraId="0C164A86" w14:textId="77777777" w:rsidR="00F47D6B" w:rsidRPr="00FC3C25" w:rsidRDefault="00F47D6B" w:rsidP="00F47D6B">
      <w:pPr>
        <w:pStyle w:val="Heading4"/>
      </w:pPr>
      <w:bookmarkStart w:id="22" w:name="_Toc20402834"/>
      <w:bookmarkStart w:id="23" w:name="_Toc29372340"/>
      <w:bookmarkStart w:id="24" w:name="_Toc37760292"/>
      <w:bookmarkStart w:id="25" w:name="_Toc46498528"/>
      <w:bookmarkStart w:id="26" w:name="_Toc52490841"/>
      <w:bookmarkStart w:id="27" w:name="_Toc76424875"/>
      <w:r w:rsidRPr="00FC3C25">
        <w:t>10.1.3.0</w:t>
      </w:r>
      <w:r w:rsidRPr="00FC3C25">
        <w:tab/>
        <w:t>General</w:t>
      </w:r>
      <w:bookmarkEnd w:id="22"/>
      <w:bookmarkEnd w:id="23"/>
      <w:bookmarkEnd w:id="24"/>
      <w:bookmarkEnd w:id="25"/>
      <w:bookmarkEnd w:id="26"/>
      <w:bookmarkEnd w:id="27"/>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Whether a measurement is non gap assisted or gap assisted depends on the UE's capability and the current operating frequency. In non gap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Same carrier frequency, the operating frequency of the bandwidth reduced low complexity (BL) UE or the UE in Enhanced Coverage is not guaranteed to be aligned with the center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95.9pt" o:ole="">
            <v:imagedata r:id="rId16" o:title=""/>
          </v:shape>
          <o:OLEObject Type="Embed" ProgID="Visio.Drawing.11" ShapeID="_x0000_i1025" DrawAspect="Content" ObjectID="_1699431301" r:id="rId17"/>
        </w:object>
      </w:r>
    </w:p>
    <w:p w14:paraId="7B3A7586" w14:textId="77777777" w:rsidR="00F47D6B" w:rsidRPr="00FC3C25" w:rsidRDefault="00F47D6B" w:rsidP="00F47D6B">
      <w:pPr>
        <w:pStyle w:val="TH"/>
      </w:pPr>
      <w:r w:rsidRPr="00FC3C25">
        <w:object w:dxaOrig="10401" w:dyaOrig="3031" w14:anchorId="6946D71B">
          <v:shape id="_x0000_i1026" type="#_x0000_t75" style="width:455.05pt;height:133.65pt" o:ole="">
            <v:imagedata r:id="rId18" o:title=""/>
          </v:shape>
          <o:OLEObject Type="Embed" ProgID="Visio.Drawing.11" ShapeID="_x0000_i1026" DrawAspect="Content" ObjectID="_1699431302" r:id="rId19"/>
        </w:object>
      </w:r>
    </w:p>
    <w:p w14:paraId="0CBB8267" w14:textId="77777777" w:rsidR="00F47D6B" w:rsidRPr="00FC3C25" w:rsidRDefault="00F47D6B" w:rsidP="00F47D6B">
      <w:pPr>
        <w:pStyle w:val="TH"/>
      </w:pPr>
      <w:r w:rsidRPr="00FC3C25">
        <w:object w:dxaOrig="3315" w:dyaOrig="2181" w14:anchorId="5DB7170D">
          <v:shape id="_x0000_i1027" type="#_x0000_t75" style="width:142pt;height:93.9pt" o:ole="">
            <v:imagedata r:id="rId20" o:title=""/>
          </v:shape>
          <o:OLEObject Type="Embed" ProgID="Visio.Drawing.11" ShapeID="_x0000_i1027" DrawAspect="Content" ObjectID="_1699431303" r:id="rId21"/>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The measurement procedure of serving cells belonging to the SeNB shall not be impacted due to RLF of SeNB;</w:t>
      </w:r>
    </w:p>
    <w:p w14:paraId="447A6AD2" w14:textId="77777777" w:rsidR="00F47D6B" w:rsidRPr="00FC3C25" w:rsidRDefault="00F47D6B" w:rsidP="00F47D6B">
      <w:pPr>
        <w:pStyle w:val="B1"/>
      </w:pPr>
      <w:r w:rsidRPr="00FC3C25">
        <w:t>-</w:t>
      </w:r>
      <w:r w:rsidRPr="00FC3C25">
        <w:tab/>
        <w:t>Common gap for the MeNB and the SeNB is applied;</w:t>
      </w:r>
    </w:p>
    <w:p w14:paraId="2760E104" w14:textId="77777777" w:rsidR="00F47D6B" w:rsidRPr="00FC3C25" w:rsidRDefault="00F47D6B" w:rsidP="00F47D6B">
      <w:pPr>
        <w:pStyle w:val="B2"/>
      </w:pPr>
      <w:r w:rsidRPr="00FC3C25">
        <w:t>-</w:t>
      </w:r>
      <w:r w:rsidRPr="00FC3C25">
        <w:tab/>
        <w:t>There is only a single measurement gap configuration for the UE which is controlled and informed by the MeNB.</w:t>
      </w:r>
    </w:p>
    <w:p w14:paraId="4AA5316A" w14:textId="77777777" w:rsidR="00F47D6B" w:rsidRPr="00FC3C25" w:rsidRDefault="00F47D6B" w:rsidP="00F47D6B">
      <w:pPr>
        <w:pStyle w:val="B1"/>
      </w:pPr>
      <w:r w:rsidRPr="00FC3C25">
        <w:lastRenderedPageBreak/>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The eNB configures the UE with one DMTC window for all neighbor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28" w:author="RAN2#115-e" w:date="2021-09-16T16:04:00Z"/>
        </w:rPr>
      </w:pPr>
      <w:ins w:id="29" w:author="RAN2#115-e" w:date="2021-09-16T16:04:00Z">
        <w:r>
          <w:t>For NB-IoT</w:t>
        </w:r>
      </w:ins>
      <w:ins w:id="30" w:author="RAN2#115-e" w:date="2021-09-16T16:07:00Z">
        <w:r>
          <w:t xml:space="preserve">, </w:t>
        </w:r>
      </w:ins>
      <w:ins w:id="31" w:author="RAN2#115-e" w:date="2021-09-16T16:04:00Z">
        <w:r>
          <w:t xml:space="preserve">measurements in RRC_CONNECTED </w:t>
        </w:r>
      </w:ins>
      <w:ins w:id="32" w:author="RAN2#115-e" w:date="2021-09-16T16:06:00Z">
        <w:r>
          <w:t xml:space="preserve">are optionally supported </w:t>
        </w:r>
      </w:ins>
      <w:ins w:id="33" w:author="RAN2#115-e" w:date="2021-09-16T16:37:00Z">
        <w:r w:rsidR="00691466" w:rsidRPr="00776E28">
          <w:rPr>
            <w:rFonts w:eastAsia="DengXian"/>
            <w:lang w:val="en-US" w:eastAsia="zh-CN"/>
          </w:rPr>
          <w:t xml:space="preserve">to reduce the time taken </w:t>
        </w:r>
      </w:ins>
      <w:ins w:id="34" w:author="RAN2#115-e" w:date="2021-09-16T16:39:00Z">
        <w:r w:rsidR="00ED0553">
          <w:rPr>
            <w:rFonts w:eastAsia="DengXian"/>
            <w:lang w:val="en-US" w:eastAsia="zh-CN"/>
          </w:rPr>
          <w:t>for</w:t>
        </w:r>
      </w:ins>
      <w:ins w:id="35" w:author="RAN2#115-e" w:date="2021-09-16T16:37:00Z">
        <w:r w:rsidR="00691466" w:rsidRPr="00776E28">
          <w:rPr>
            <w:rFonts w:eastAsia="DengXian"/>
            <w:lang w:val="en-US" w:eastAsia="zh-CN"/>
          </w:rPr>
          <w:t xml:space="preserve"> RRC reestablishment</w:t>
        </w:r>
      </w:ins>
      <w:ins w:id="36" w:author="RAN2#115-e" w:date="2021-09-17T09:39:00Z">
        <w:r w:rsidR="00A30DB9">
          <w:rPr>
            <w:rFonts w:eastAsia="DengXian"/>
            <w:lang w:val="en-US" w:eastAsia="zh-CN"/>
          </w:rPr>
          <w:t>. The following principles are applied</w:t>
        </w:r>
      </w:ins>
      <w:ins w:id="37" w:author="RAN2#115-e" w:date="2021-09-16T16:06:00Z">
        <w:r>
          <w:t>:</w:t>
        </w:r>
      </w:ins>
    </w:p>
    <w:p w14:paraId="2DEC1EBB" w14:textId="75A6428A" w:rsidR="000530F6" w:rsidRDefault="000530F6" w:rsidP="000530F6">
      <w:pPr>
        <w:pStyle w:val="B1"/>
        <w:rPr>
          <w:ins w:id="38" w:author="RAN2#115-e" w:date="2021-09-16T16:09:00Z"/>
        </w:rPr>
      </w:pPr>
      <w:ins w:id="39" w:author="RAN2#115-e" w:date="2021-09-16T16:04:00Z">
        <w:r w:rsidRPr="000530F6">
          <w:t>-</w:t>
        </w:r>
        <w:r w:rsidRPr="000530F6">
          <w:tab/>
        </w:r>
      </w:ins>
      <w:ins w:id="40" w:author="RAN2#115-e" w:date="2021-09-16T16:08:00Z">
        <w:r>
          <w:t>T</w:t>
        </w:r>
      </w:ins>
      <w:ins w:id="41" w:author="RAN2#115-e" w:date="2021-09-16T16:04:00Z">
        <w:r w:rsidRPr="00FC3C25">
          <w:t xml:space="preserve">he "current cell" above refers to </w:t>
        </w:r>
      </w:ins>
      <w:ins w:id="42" w:author="RAN2#115-e" w:date="2021-09-16T16:08:00Z">
        <w:r>
          <w:t>the configured carrier</w:t>
        </w:r>
      </w:ins>
      <w:ins w:id="43" w:author="RAN2#115-e" w:date="2021-09-16T16:10:00Z">
        <w:r>
          <w:t xml:space="preserve"> in the </w:t>
        </w:r>
      </w:ins>
      <w:ins w:id="44" w:author="RAN2#115-e" w:date="2021-09-16T16:12:00Z">
        <w:r>
          <w:t>serving cell</w:t>
        </w:r>
      </w:ins>
      <w:ins w:id="45" w:author="RAN2#115-e" w:date="2021-09-16T16:04:00Z">
        <w:r w:rsidRPr="00FC3C25">
          <w:t xml:space="preserve">. </w:t>
        </w:r>
      </w:ins>
      <w:ins w:id="46" w:author="RAN2#115-e" w:date="2021-09-16T16:13:00Z">
        <w:r>
          <w:t>T</w:t>
        </w:r>
        <w:r w:rsidRPr="00FC3C25">
          <w:t>he "</w:t>
        </w:r>
        <w:r>
          <w:t>target</w:t>
        </w:r>
        <w:r w:rsidRPr="00FC3C25">
          <w:t xml:space="preserve"> cell" above refers to </w:t>
        </w:r>
        <w:r>
          <w:t>the anchor carrier in the target cell.</w:t>
        </w:r>
        <w:r w:rsidRPr="00FC3C25">
          <w:t xml:space="preserve"> </w:t>
        </w:r>
      </w:ins>
      <w:ins w:id="47"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48" w:author="RAN2#115-e" w:date="2021-09-16T16:09:00Z"/>
        </w:rPr>
      </w:pPr>
      <w:ins w:id="49" w:author="RAN2#115-e" w:date="2021-09-16T16:09:00Z">
        <w:r>
          <w:t>-</w:t>
        </w:r>
        <w:r>
          <w:tab/>
          <w:t xml:space="preserve">Intra-frequency neighbour (carrier) measurements: Neighbour carrier measurements performed by the UE are intra-frequency measurements when </w:t>
        </w:r>
      </w:ins>
      <w:ins w:id="50" w:author="RAN2#115-e" w:date="2021-09-16T16:10:00Z">
        <w:r>
          <w:t>the configured carrier</w:t>
        </w:r>
      </w:ins>
      <w:ins w:id="51" w:author="RAN2#115-e" w:date="2021-09-16T16:09:00Z">
        <w:r>
          <w:t xml:space="preserve"> </w:t>
        </w:r>
      </w:ins>
      <w:ins w:id="52" w:author="RAN2#115-e" w:date="2021-09-16T16:11:00Z">
        <w:r>
          <w:t xml:space="preserve">in the </w:t>
        </w:r>
      </w:ins>
      <w:ins w:id="53" w:author="RAN2#115-e" w:date="2021-09-16T16:12:00Z">
        <w:r>
          <w:t>serving</w:t>
        </w:r>
      </w:ins>
      <w:ins w:id="54" w:author="RAN2#115-e" w:date="2021-09-16T16:11:00Z">
        <w:r>
          <w:t xml:space="preserve"> cell</w:t>
        </w:r>
      </w:ins>
      <w:ins w:id="55" w:author="RAN2#115-e" w:date="2021-09-16T16:09:00Z">
        <w:r>
          <w:t xml:space="preserve"> and the </w:t>
        </w:r>
      </w:ins>
      <w:ins w:id="56" w:author="RAN2#115-e" w:date="2021-09-16T16:14:00Z">
        <w:r>
          <w:t xml:space="preserve">anchor carrier in the </w:t>
        </w:r>
      </w:ins>
      <w:ins w:id="57"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58" w:author="RAN2#115-e" w:date="2021-09-16T16:04:00Z"/>
        </w:rPr>
      </w:pPr>
      <w:ins w:id="59" w:author="RAN2#115-e" w:date="2021-09-16T16:09:00Z">
        <w:r>
          <w:t>-</w:t>
        </w:r>
        <w:r>
          <w:tab/>
          <w:t xml:space="preserve">Inter-frequency neighbour (carrier) measurements: Neighbour cell measurements performed by the UE are inter-frequency measurements when </w:t>
        </w:r>
      </w:ins>
      <w:ins w:id="60" w:author="RAN2#115-e" w:date="2021-09-16T16:14:00Z">
        <w:r>
          <w:t xml:space="preserve">the configured carrier in the serving cell and the anchor carrier in the target cell operates on </w:t>
        </w:r>
      </w:ins>
      <w:ins w:id="61" w:author="RAN2#115-e" w:date="2021-09-16T16:09:00Z">
        <w:r>
          <w:t>a different carrier frequency. The UE may not be able to perform such measurements without measurement gaps.</w:t>
        </w:r>
      </w:ins>
    </w:p>
    <w:p w14:paraId="1930BA81" w14:textId="16A3C7FD" w:rsidR="000530F6" w:rsidRPr="000530F6" w:rsidRDefault="000530F6" w:rsidP="000530F6">
      <w:pPr>
        <w:pStyle w:val="B1"/>
        <w:rPr>
          <w:ins w:id="62" w:author="RAN2#115-e" w:date="2021-09-16T16:04:00Z"/>
          <w:lang w:eastAsia="zh-CN"/>
        </w:rPr>
      </w:pPr>
      <w:ins w:id="63" w:author="RAN2#115-e" w:date="2021-09-16T16:15:00Z">
        <w:r>
          <w:t>-</w:t>
        </w:r>
        <w:r>
          <w:tab/>
        </w:r>
      </w:ins>
      <w:ins w:id="64" w:author="RAN2#115-e" w:date="2021-09-16T16:04:00Z">
        <w:r w:rsidRPr="000530F6">
          <w:t xml:space="preserve">The eNB configures the </w:t>
        </w:r>
      </w:ins>
      <w:ins w:id="65" w:author="RAN2#115-e" w:date="2021-09-16T16:21:00Z">
        <w:r>
          <w:t>criteria to pe</w:t>
        </w:r>
      </w:ins>
      <w:ins w:id="66" w:author="RAN2#115-e" w:date="2021-09-16T16:22:00Z">
        <w:r>
          <w:t>r</w:t>
        </w:r>
      </w:ins>
      <w:ins w:id="67" w:author="RAN2#115-e" w:date="2021-09-16T16:21:00Z">
        <w:r>
          <w:t>fo</w:t>
        </w:r>
      </w:ins>
      <w:ins w:id="68" w:author="RAN2#115-e" w:date="2021-09-16T16:33:00Z">
        <w:r w:rsidR="00691466">
          <w:t>r</w:t>
        </w:r>
      </w:ins>
      <w:ins w:id="69" w:author="RAN2#115-e" w:date="2021-09-16T16:21:00Z">
        <w:r>
          <w:t xml:space="preserve">m measurements via </w:t>
        </w:r>
      </w:ins>
      <w:ins w:id="70" w:author="RAN2#115-e" w:date="2021-09-16T16:22:00Z">
        <w:r>
          <w:t>broadcast signalling;</w:t>
        </w:r>
      </w:ins>
    </w:p>
    <w:p w14:paraId="21D3A953" w14:textId="72740825" w:rsidR="000530F6" w:rsidRDefault="000530F6" w:rsidP="00376E50">
      <w:pPr>
        <w:pStyle w:val="B1"/>
        <w:rPr>
          <w:ins w:id="71" w:author="RAN2#115-e" w:date="2021-09-16T16:37:00Z"/>
        </w:rPr>
      </w:pPr>
      <w:ins w:id="72" w:author="RAN2#115-e" w:date="2021-09-16T16:04:00Z">
        <w:r w:rsidRPr="000530F6">
          <w:t>-</w:t>
        </w:r>
        <w:r w:rsidRPr="000530F6">
          <w:tab/>
        </w:r>
      </w:ins>
      <w:ins w:id="73" w:author="RAN2#115-e" w:date="2021-10-21T13:50:00Z">
        <w:r w:rsidR="007C661C">
          <w:t xml:space="preserve">Dedicated </w:t>
        </w:r>
      </w:ins>
      <w:ins w:id="74" w:author="RAN2#115-e" w:date="2021-09-16T16:29:00Z">
        <w:r w:rsidR="00691466">
          <w:t>measurements gap</w:t>
        </w:r>
      </w:ins>
      <w:ins w:id="75" w:author="RAN2#115-e" w:date="2021-09-16T16:31:00Z">
        <w:r w:rsidR="00691466">
          <w:t>s</w:t>
        </w:r>
      </w:ins>
      <w:ins w:id="76" w:author="RAN2#115-e" w:date="2021-09-16T16:29:00Z">
        <w:r w:rsidR="00691466">
          <w:t xml:space="preserve"> are not </w:t>
        </w:r>
      </w:ins>
      <w:ins w:id="77" w:author="RAN2#115-e" w:date="2021-09-16T16:31:00Z">
        <w:r w:rsidR="00691466">
          <w:t>sup</w:t>
        </w:r>
      </w:ins>
      <w:ins w:id="78" w:author="RAN2#115-e" w:date="2021-09-16T16:32:00Z">
        <w:r w:rsidR="00691466">
          <w:t>po</w:t>
        </w:r>
      </w:ins>
      <w:ins w:id="79" w:author="RAN2#115-e" w:date="2021-09-16T16:31:00Z">
        <w:r w:rsidR="00691466">
          <w:t xml:space="preserve">rted. </w:t>
        </w:r>
      </w:ins>
      <w:ins w:id="80" w:author="RAN2#115-e" w:date="2021-09-16T16:39:00Z">
        <w:r w:rsidR="003C50D7" w:rsidRPr="003C50D7">
          <w:t xml:space="preserve">The </w:t>
        </w:r>
      </w:ins>
      <w:ins w:id="81" w:author="RAN2#115-e" w:date="2021-09-16T16:27:00Z">
        <w:r w:rsidR="003C50D7" w:rsidRPr="003C50D7">
          <w:t xml:space="preserve">UE may need to perform neighbour </w:t>
        </w:r>
      </w:ins>
      <w:ins w:id="82" w:author="RAN2#115-e" w:date="2021-09-16T16:29:00Z">
        <w:r w:rsidR="003C50D7" w:rsidRPr="003C50D7">
          <w:t>cell</w:t>
        </w:r>
      </w:ins>
      <w:ins w:id="83" w:author="RAN2#115-e" w:date="2021-09-16T16:27:00Z">
        <w:r w:rsidR="003C50D7" w:rsidRPr="003C50D7">
          <w:t xml:space="preserve"> measurements during DL/UL idle periods that are provided by DRX</w:t>
        </w:r>
      </w:ins>
      <w:ins w:id="84" w:author="RAN2#115-e" w:date="2021-09-16T16:29:00Z">
        <w:r w:rsidR="003C50D7" w:rsidRPr="003C50D7">
          <w:t xml:space="preserve"> </w:t>
        </w:r>
      </w:ins>
      <w:ins w:id="85" w:author="RAN2#115-e" w:date="2021-09-16T16:27:00Z">
        <w:r w:rsidR="003C50D7" w:rsidRPr="003C50D7">
          <w:t>or packet scheduling</w:t>
        </w:r>
      </w:ins>
      <w:ins w:id="86" w:author="RAN2#115-e" w:date="2021-10-21T13:51:00Z">
        <w:r w:rsidR="007C661C">
          <w:t>;</w:t>
        </w:r>
      </w:ins>
    </w:p>
    <w:p w14:paraId="56F7B0FC" w14:textId="69357675" w:rsidR="00691466" w:rsidRDefault="00691466" w:rsidP="00376E50">
      <w:pPr>
        <w:pStyle w:val="B1"/>
      </w:pPr>
      <w:ins w:id="87" w:author="RAN2#115-e" w:date="2021-09-16T16:37:00Z">
        <w:r>
          <w:t>-</w:t>
        </w:r>
        <w:r>
          <w:tab/>
          <w:t>Measurement reporting is not supported</w:t>
        </w:r>
      </w:ins>
      <w:ins w:id="88" w:author="RAN2#115-e" w:date="2021-09-16T16:39:00Z">
        <w:r>
          <w:t>.</w:t>
        </w:r>
      </w:ins>
    </w:p>
    <w:p w14:paraId="2F3A3296" w14:textId="4A5762F9" w:rsidR="003C50D7" w:rsidRPr="003C50D7" w:rsidRDefault="007C661C" w:rsidP="007C661C">
      <w:pPr>
        <w:pStyle w:val="EditorsNote"/>
      </w:pPr>
      <w:ins w:id="89" w:author="RAN2#115-e" w:date="2021-10-21T13:49:00Z">
        <w:r>
          <w:t xml:space="preserve">Editor’s Note: FFS whether/how to capture </w:t>
        </w:r>
      </w:ins>
      <w:ins w:id="90" w:author="RAN2#115-e" w:date="2021-10-21T13:50:00Z">
        <w:r w:rsidRPr="00FC3C25">
          <w:t xml:space="preserve">relaxed monitoring </w:t>
        </w:r>
        <w:r>
          <w:t>in RRC_CONNECTED</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eastAsiaTheme="minorEastAsia" w:hAnsi="Arial" w:cs="Arial"/>
                <w:noProof/>
                <w:sz w:val="24"/>
              </w:rPr>
            </w:pPr>
            <w:r w:rsidRPr="003C50D7">
              <w:rPr>
                <w:rFonts w:eastAsiaTheme="minorEastAsia"/>
              </w:rPr>
              <w:br w:type="page"/>
            </w:r>
            <w:r w:rsidRPr="003C50D7">
              <w:rPr>
                <w:rFonts w:ascii="Arial" w:eastAsiaTheme="minorEastAsia"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Only one subframe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(eDRX) is used in idle mode, the following are applicable:</w:t>
      </w:r>
    </w:p>
    <w:p w14:paraId="51EB8D2D" w14:textId="77777777" w:rsidR="003C50D7" w:rsidRPr="003C50D7" w:rsidRDefault="003C50D7" w:rsidP="003C50D7">
      <w:pPr>
        <w:ind w:left="568" w:hanging="284"/>
      </w:pPr>
      <w:r w:rsidRPr="003C50D7">
        <w:t>-</w:t>
      </w:r>
      <w:r w:rsidRPr="003C50D7">
        <w:tab/>
        <w:t>The DRX cycle is extended up to and beyond 10.24s in idle mode, with a maximum value of 2621.44 seconds (43.69 minutes);</w:t>
      </w:r>
      <w:r w:rsidRPr="003C50D7">
        <w:rPr>
          <w:rFonts w:eastAsia="SimSun"/>
          <w:lang w:eastAsia="zh-CN"/>
        </w:rPr>
        <w:t xml:space="preserve"> For NB-IoT, the maximum value of the DRX cycle is 10485.76 seconds (2.91 hours);</w:t>
      </w:r>
    </w:p>
    <w:p w14:paraId="5493D921" w14:textId="77777777" w:rsidR="003C50D7" w:rsidRPr="003C50D7" w:rsidRDefault="003C50D7" w:rsidP="003C50D7">
      <w:pPr>
        <w:ind w:left="568" w:hanging="284"/>
      </w:pPr>
      <w:r w:rsidRPr="003C50D7">
        <w:lastRenderedPageBreak/>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Paging Hyperframe (PH) refers to the H-SFN in which the UE starts monitoring paging DRX during a Paging Time Window (PTW) used in ECM-IDLE. The PH is determined based on a formula that is known by the MME/AMF, UE and (ng-)eNB as a function of eDRX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(ng-)eNB;</w:t>
      </w:r>
    </w:p>
    <w:p w14:paraId="22C59400" w14:textId="77777777" w:rsidR="003C50D7" w:rsidRPr="003C50D7" w:rsidRDefault="003C50D7" w:rsidP="003C50D7">
      <w:pPr>
        <w:ind w:left="568" w:hanging="284"/>
      </w:pPr>
      <w:r w:rsidRPr="003C50D7">
        <w:t>-</w:t>
      </w:r>
      <w:r w:rsidRPr="003C50D7">
        <w:tab/>
        <w:t>ETWS, CMAS, PWS requirement may not be met when a UE is in eDRX.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3C50D7">
        <w:rPr>
          <w:i/>
        </w:rPr>
        <w:t>systemInfoModification-eDRX</w:t>
      </w:r>
      <w:r w:rsidRPr="003C50D7">
        <w:t>, for a UE configured with eDRX cycle longer than the system information modification period.</w:t>
      </w:r>
    </w:p>
    <w:p w14:paraId="6CC111CE" w14:textId="77777777" w:rsidR="003C50D7" w:rsidRPr="003C50D7" w:rsidRDefault="003C50D7" w:rsidP="003C50D7">
      <w:r w:rsidRPr="003C50D7">
        <w:t>NB-IoT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(G)WUS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(ng-)eNB;</w:t>
      </w:r>
    </w:p>
    <w:p w14:paraId="32BBE526" w14:textId="77777777" w:rsidR="003C50D7" w:rsidRPr="003C50D7" w:rsidRDefault="003C50D7" w:rsidP="003C50D7">
      <w:pPr>
        <w:ind w:left="568" w:hanging="284"/>
      </w:pPr>
      <w:r w:rsidRPr="003C50D7">
        <w:t>-</w:t>
      </w:r>
      <w:r w:rsidRPr="003C50D7">
        <w:tab/>
        <w:t>To reduce WUS use in cells not monitored by the UE, WUS-capable (ng-)eNBs provide UE's last used cell information to MME/AMF in the S1-AP/NG-AP UE Context Release Complete or UE Context Suspend Request messages for all UEs, as described in TS 23.401 [17] and TS 23.501 [82]. In case of immediate suspension of a UE, the WUS-capable ng-eNB also provides the UE</w:t>
      </w:r>
      <w:r w:rsidRPr="003C50D7">
        <w:rPr>
          <w:rFonts w:eastAsiaTheme="minorEastAsia"/>
        </w:rPr>
        <w:t>'</w:t>
      </w:r>
      <w:r w:rsidRPr="003C50D7">
        <w:t>s last cell information to the AMF in the UE Context Resume Request message, as described in TS 23.501 [82].</w:t>
      </w:r>
    </w:p>
    <w:p w14:paraId="6D52A3D7" w14:textId="77777777" w:rsidR="003C50D7" w:rsidRPr="003C50D7" w:rsidRDefault="003C50D7" w:rsidP="003C50D7">
      <w:r w:rsidRPr="003C50D7">
        <w:t>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lastRenderedPageBreak/>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75pt;height:67.95pt" o:ole="">
            <v:imagedata r:id="rId23" o:title=""/>
          </v:shape>
          <o:OLEObject Type="Embed" ProgID="Word.Document.12" ShapeID="_x0000_i1028" DrawAspect="Content" ObjectID="_1699431304" r:id="rId24">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NB-IoT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85pt;height:137.4pt" o:ole="">
            <v:imagedata r:id="rId25" o:title=""/>
          </v:shape>
          <o:OLEObject Type="Embed" ProgID="Visio.Drawing.15" ShapeID="_x0000_i1029" DrawAspect="Content" ObjectID="_1699431305" r:id="rId26"/>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2A591169" w:rsidR="003C50D7" w:rsidRDefault="003C50D7" w:rsidP="003C50D7">
      <w:pPr>
        <w:rPr>
          <w:ins w:id="91" w:author="RAN2#115-e" w:date="2021-10-21T13:58:00Z"/>
          <w:lang w:eastAsia="zh-CN"/>
        </w:rPr>
      </w:pPr>
      <w:r w:rsidRPr="003C50D7">
        <w:rPr>
          <w:lang w:eastAsia="zh-CN"/>
        </w:rPr>
        <w:t xml:space="preserve">For NB-IoT, UE in RRC_IDLE receives paging on the anchor carrier or on a non-anchor carrier based on system information. </w:t>
      </w:r>
      <w:ins w:id="92" w:author="RAN2#116-e" w:date="2021-11-12T11:05:00Z">
        <w:r w:rsidR="00C06A23">
          <w:rPr>
            <w:lang w:eastAsia="zh-CN"/>
          </w:rPr>
          <w:t xml:space="preserve">Some paging carriers may </w:t>
        </w:r>
      </w:ins>
      <w:ins w:id="93" w:author="RAN2#116-e" w:date="2021-11-12T11:12:00Z">
        <w:r w:rsidR="00C06A23">
          <w:rPr>
            <w:lang w:eastAsia="zh-CN"/>
          </w:rPr>
          <w:t xml:space="preserve">be configured for </w:t>
        </w:r>
      </w:ins>
      <w:ins w:id="94" w:author="RAN2#116-e" w:date="2021-11-12T11:05:00Z">
        <w:r w:rsidR="00C06A23">
          <w:rPr>
            <w:lang w:eastAsia="zh-CN"/>
          </w:rPr>
          <w:t xml:space="preserve">a lower level </w:t>
        </w:r>
      </w:ins>
      <w:ins w:id="95" w:author="RAN2#116-e" w:date="2021-11-12T11:06:00Z">
        <w:r w:rsidR="00C06A23">
          <w:rPr>
            <w:lang w:eastAsia="zh-CN"/>
          </w:rPr>
          <w:t>o</w:t>
        </w:r>
      </w:ins>
      <w:ins w:id="96" w:author="RAN2#116-e" w:date="2021-11-12T11:05:00Z">
        <w:r w:rsidR="00C06A23">
          <w:rPr>
            <w:lang w:eastAsia="zh-CN"/>
          </w:rPr>
          <w:t>f cover</w:t>
        </w:r>
      </w:ins>
      <w:ins w:id="97" w:author="RAN2#116-e" w:date="2021-11-12T11:06:00Z">
        <w:r w:rsidR="00C06A23">
          <w:rPr>
            <w:lang w:eastAsia="zh-CN"/>
          </w:rPr>
          <w:t>age</w:t>
        </w:r>
      </w:ins>
      <w:ins w:id="98" w:author="RAN2#116-e" w:date="2021-11-12T11:12:00Z">
        <w:r w:rsidR="00C06A23">
          <w:rPr>
            <w:lang w:eastAsia="zh-CN"/>
          </w:rPr>
          <w:t xml:space="preserve"> enhancements</w:t>
        </w:r>
      </w:ins>
      <w:ins w:id="99" w:author="RAN2#116-e" w:date="2021-11-12T10:53:00Z">
        <w:r w:rsidR="00C06A23">
          <w:rPr>
            <w:lang w:eastAsia="zh-CN"/>
          </w:rPr>
          <w:t xml:space="preserve">. </w:t>
        </w:r>
      </w:ins>
      <w:ins w:id="100" w:author="RAN2#116-e" w:date="2021-11-12T11:16:00Z">
        <w:r w:rsidR="00292E94">
          <w:rPr>
            <w:lang w:eastAsia="zh-CN"/>
          </w:rPr>
          <w:t xml:space="preserve">The eNB </w:t>
        </w:r>
      </w:ins>
      <w:ins w:id="101" w:author="RAN2#116-e" w:date="2021-11-12T11:17:00Z">
        <w:r w:rsidR="00292E94">
          <w:rPr>
            <w:lang w:eastAsia="zh-CN"/>
          </w:rPr>
          <w:t>can configure a UE to select</w:t>
        </w:r>
      </w:ins>
      <w:ins w:id="102" w:author="RAN2#116-e" w:date="2021-11-12T10:52:00Z">
        <w:r w:rsidR="00832D04">
          <w:rPr>
            <w:lang w:eastAsia="zh-CN"/>
          </w:rPr>
          <w:t xml:space="preserve"> </w:t>
        </w:r>
        <w:r w:rsidR="00C06A23">
          <w:rPr>
            <w:lang w:eastAsia="zh-CN"/>
          </w:rPr>
          <w:t>one of these</w:t>
        </w:r>
        <w:r w:rsidR="00832D04">
          <w:rPr>
            <w:lang w:eastAsia="zh-CN"/>
          </w:rPr>
          <w:t xml:space="preserve"> paging </w:t>
        </w:r>
      </w:ins>
      <w:ins w:id="103" w:author="RAN2#116-e" w:date="2021-11-12T10:50:00Z">
        <w:r w:rsidR="00832D04">
          <w:rPr>
            <w:lang w:eastAsia="zh-CN"/>
          </w:rPr>
          <w:t>carrier</w:t>
        </w:r>
      </w:ins>
      <w:ins w:id="104" w:author="RAN2#116-e" w:date="2021-11-12T11:14:00Z">
        <w:r w:rsidR="00292E94">
          <w:rPr>
            <w:lang w:eastAsia="zh-CN"/>
          </w:rPr>
          <w:t>s</w:t>
        </w:r>
      </w:ins>
      <w:ins w:id="105" w:author="RAN2#116-e" w:date="2021-11-12T10:50:00Z">
        <w:r w:rsidR="00832D04">
          <w:rPr>
            <w:lang w:eastAsia="zh-CN"/>
          </w:rPr>
          <w:t xml:space="preserve"> </w:t>
        </w:r>
      </w:ins>
      <w:ins w:id="106" w:author="RAN2#116-e" w:date="2021-11-12T10:52:00Z">
        <w:r w:rsidR="00832D04">
          <w:rPr>
            <w:lang w:eastAsia="zh-CN"/>
          </w:rPr>
          <w:t>based</w:t>
        </w:r>
      </w:ins>
      <w:ins w:id="107" w:author="RAN2#116-e" w:date="2021-11-12T10:50:00Z">
        <w:r w:rsidR="00832D04">
          <w:rPr>
            <w:lang w:eastAsia="zh-CN"/>
          </w:rPr>
          <w:t xml:space="preserve"> on </w:t>
        </w:r>
      </w:ins>
      <w:ins w:id="108" w:author="RAN2#116-e" w:date="2021-11-12T11:13:00Z">
        <w:r w:rsidR="00C06A23">
          <w:rPr>
            <w:lang w:eastAsia="zh-CN"/>
          </w:rPr>
          <w:t>it</w:t>
        </w:r>
      </w:ins>
      <w:ins w:id="109" w:author="RAN2#116-e" w:date="2021-11-12T11:14:00Z">
        <w:r w:rsidR="00292E94">
          <w:rPr>
            <w:lang w:eastAsia="zh-CN"/>
          </w:rPr>
          <w:t>s</w:t>
        </w:r>
      </w:ins>
      <w:ins w:id="110" w:author="RAN2#116-e" w:date="2021-11-12T11:13:00Z">
        <w:r w:rsidR="00C06A23">
          <w:rPr>
            <w:lang w:eastAsia="zh-CN"/>
          </w:rPr>
          <w:t xml:space="preserve"> serving cell NRSRP</w:t>
        </w:r>
      </w:ins>
      <w:ins w:id="111" w:author="RAN2#116-e" w:date="2021-11-12T10:47:00Z">
        <w:r w:rsidR="00832D04">
          <w:rPr>
            <w:lang w:eastAsia="zh-CN"/>
          </w:rPr>
          <w:t>.</w:t>
        </w:r>
      </w:ins>
    </w:p>
    <w:p w14:paraId="417046DB" w14:textId="18FD2DC9" w:rsidR="007C661C" w:rsidRPr="003C50D7" w:rsidRDefault="007C661C" w:rsidP="007C661C">
      <w:pPr>
        <w:pStyle w:val="EditorsNote"/>
      </w:pPr>
      <w:commentRangeStart w:id="112"/>
      <w:ins w:id="113" w:author="RAN2#115-e" w:date="2021-10-21T13:58:00Z">
        <w:r>
          <w:t xml:space="preserve">Editor’s Note: FFS how to capture coverage based </w:t>
        </w:r>
        <w:r>
          <w:rPr>
            <w:lang w:eastAsia="zh-CN"/>
          </w:rPr>
          <w:t>paging carrier</w:t>
        </w:r>
      </w:ins>
      <w:commentRangeEnd w:id="112"/>
      <w:r w:rsidR="00832D04">
        <w:rPr>
          <w:rStyle w:val="CommentReference"/>
          <w:color w:val="auto"/>
        </w:rPr>
        <w:commentReference w:id="112"/>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eastAsiaTheme="minorEastAsia" w:hAnsi="Arial" w:cs="Arial"/>
                <w:noProof/>
                <w:sz w:val="24"/>
              </w:rPr>
            </w:pPr>
            <w:r w:rsidRPr="00F47D6B">
              <w:rPr>
                <w:rFonts w:eastAsiaTheme="minorEastAsia"/>
              </w:rPr>
              <w:br w:type="page"/>
            </w:r>
            <w:commentRangeStart w:id="114"/>
            <w:r w:rsidRPr="00F47D6B">
              <w:rPr>
                <w:rFonts w:ascii="Arial" w:eastAsiaTheme="minorEastAsia" w:hAnsi="Arial" w:cs="Arial"/>
                <w:noProof/>
                <w:sz w:val="24"/>
              </w:rPr>
              <w:t>Next change</w:t>
            </w:r>
            <w:commentRangeEnd w:id="114"/>
            <w:r w:rsidR="00832D04">
              <w:rPr>
                <w:rStyle w:val="CommentReference"/>
              </w:rPr>
              <w:commentReference w:id="114"/>
            </w:r>
          </w:p>
        </w:tc>
      </w:tr>
    </w:tbl>
    <w:p w14:paraId="4E8F4EF3" w14:textId="77777777" w:rsidR="00C05D96" w:rsidRDefault="00C05D96" w:rsidP="00376E50"/>
    <w:p w14:paraId="71D045B5" w14:textId="77777777" w:rsidR="007D1DD0" w:rsidRPr="00FC3C25" w:rsidRDefault="007D1DD0" w:rsidP="00376E50">
      <w:pPr>
        <w:pStyle w:val="Heading2"/>
      </w:pPr>
      <w:bookmarkStart w:id="115" w:name="_Toc20402837"/>
      <w:bookmarkStart w:id="116" w:name="_Toc29372343"/>
      <w:bookmarkStart w:id="117" w:name="_Toc37760295"/>
      <w:bookmarkStart w:id="118" w:name="_Toc46498531"/>
      <w:bookmarkStart w:id="119" w:name="_Toc52490844"/>
      <w:bookmarkStart w:id="120" w:name="_Toc76424878"/>
      <w:r w:rsidRPr="00FC3C25">
        <w:t>23.7a</w:t>
      </w:r>
      <w:r w:rsidRPr="00FC3C25">
        <w:tab/>
        <w:t>Support of Bandwidth Reduced Low Complexity UEs</w:t>
      </w:r>
    </w:p>
    <w:p w14:paraId="5E0F2019" w14:textId="77777777" w:rsidR="007D1DD0" w:rsidRPr="00FC3C25" w:rsidRDefault="007D1DD0" w:rsidP="00376E5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signaling.</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02369FE1" w14:textId="13CA8B98" w:rsidR="007D1DD0" w:rsidRPr="00FC3C25" w:rsidDel="00832D04" w:rsidRDefault="007D1DD0" w:rsidP="007C661C">
      <w:pPr>
        <w:keepNext/>
        <w:keepLines/>
        <w:rPr>
          <w:ins w:id="121" w:author="RAN2#115-e" w:date="2021-09-17T12:04:00Z"/>
          <w:del w:id="122" w:author="RAN2#116-e" w:date="2021-11-12T10:38:00Z"/>
        </w:rPr>
      </w:pPr>
      <w:commentRangeStart w:id="123"/>
      <w:ins w:id="124" w:author="RAN2#115-e" w:date="2021-09-17T12:04:00Z">
        <w:del w:id="125" w:author="RAN2#116-e" w:date="2021-11-12T10:38:00Z">
          <w:r w:rsidRPr="00FC3C25" w:rsidDel="00832D04">
            <w:delText>A Category</w:delText>
          </w:r>
          <w:r w:rsidDel="00832D04">
            <w:delText xml:space="preserve"> M1 BL UE may support a larger D</w:delText>
          </w:r>
          <w:r w:rsidRPr="00FC3C25" w:rsidDel="00832D04">
            <w:delText xml:space="preserve">L maximum TBS size </w:delText>
          </w:r>
          <w:r w:rsidDel="00832D04">
            <w:delText xml:space="preserve">in CE Mode A for HD-FDD </w:delText>
          </w:r>
          <w:r w:rsidRPr="00FC3C25" w:rsidDel="00832D04">
            <w:delText>indicated by a separate UE capability</w:delText>
          </w:r>
          <w:r w:rsidDel="00832D04">
            <w:delText>.</w:delText>
          </w:r>
        </w:del>
      </w:ins>
      <w:commentRangeEnd w:id="123"/>
      <w:r w:rsidR="00832D04">
        <w:rPr>
          <w:rStyle w:val="CommentReference"/>
        </w:rPr>
        <w:commentReference w:id="123"/>
      </w:r>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A BL UE is paged based on paging occasions in time domain, and paging narrowbands in frequency domain. The starting subframe of a paging occasion is determined in the same way as the paging occasion in the legacy paging mechanism.</w:t>
      </w:r>
    </w:p>
    <w:p w14:paraId="31934DB5" w14:textId="27FF7E13" w:rsidR="007D1DD0" w:rsidRDefault="007D1DD0" w:rsidP="007D1DD0">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bookmarkEnd w:id="115"/>
      <w:bookmarkEnd w:id="116"/>
      <w:bookmarkEnd w:id="117"/>
      <w:bookmarkEnd w:id="118"/>
      <w:bookmarkEnd w:id="119"/>
      <w:bookmarkEnd w:id="120"/>
    </w:p>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 w:name="_Toc20403369"/>
      <w:bookmarkStart w:id="127" w:name="_Toc29372875"/>
      <w:bookmarkStart w:id="128" w:name="_Toc37760838"/>
      <w:bookmarkStart w:id="129" w:name="_Toc46499078"/>
      <w:bookmarkStart w:id="130" w:name="_Toc52491391"/>
      <w:bookmarkStart w:id="131"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126"/>
      <w:bookmarkEnd w:id="127"/>
      <w:bookmarkEnd w:id="128"/>
      <w:bookmarkEnd w:id="129"/>
      <w:bookmarkEnd w:id="130"/>
      <w:bookmarkEnd w:id="131"/>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Information on the coverage enhancement (CE) level, if available for the UE, is provided transparently by the serving eNB to the MME at transition to ECM_IDLE together with the respective cell identifier and is provided to the E-UTRAN during paging. The Paging Attempt Information, as defined in 23.13.1, is always provided to all paged eNBs for UEs for which the information on the coverage enhancement level has been received.</w:t>
      </w:r>
    </w:p>
    <w:p w14:paraId="3A4593CA" w14:textId="593A0064" w:rsidR="003C50D7" w:rsidRPr="00FC3C25" w:rsidRDefault="007C661C" w:rsidP="007C661C">
      <w:pPr>
        <w:pStyle w:val="EditorsNote"/>
        <w:rPr>
          <w:rFonts w:eastAsia="SimSun"/>
          <w:lang w:eastAsia="zh-CN"/>
        </w:rPr>
      </w:pPr>
      <w:ins w:id="132" w:author="RAN2#115-e" w:date="2021-10-21T13:59:00Z">
        <w:r>
          <w:rPr>
            <w:rFonts w:eastAsia="SimSun"/>
            <w:lang w:eastAsia="zh-CN"/>
          </w:rPr>
          <w:t xml:space="preserve">Editor’s Note:  </w:t>
        </w:r>
        <w:r>
          <w:t xml:space="preserve">FFS if anything to capture for coverage based </w:t>
        </w:r>
        <w:r>
          <w:rPr>
            <w:lang w:eastAsia="zh-CN"/>
          </w:rPr>
          <w:t>paging carrier</w:t>
        </w:r>
      </w:ins>
    </w:p>
    <w:sectPr w:rsidR="003C50D7" w:rsidRPr="00FC3C25"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2" w:author="RAN2#116-e" w:date="2021-11-12T10:51:00Z" w:initials="HW">
    <w:p w14:paraId="4DDF1F70" w14:textId="5A005DD8" w:rsidR="00832D04" w:rsidRDefault="00832D04">
      <w:pPr>
        <w:pStyle w:val="CommentText"/>
      </w:pPr>
      <w:r>
        <w:rPr>
          <w:rStyle w:val="CommentReference"/>
        </w:rPr>
        <w:annotationRef/>
      </w:r>
      <w:r>
        <w:t>keep this for now until we agree on the wording,</w:t>
      </w:r>
    </w:p>
  </w:comment>
  <w:comment w:id="114" w:author="RAN2#116-e" w:date="2021-11-12T10:42:00Z" w:initials="HW">
    <w:p w14:paraId="359BB14D" w14:textId="2A2C0728" w:rsidR="00832D04" w:rsidRDefault="00832D04">
      <w:pPr>
        <w:pStyle w:val="CommentText"/>
      </w:pPr>
      <w:r>
        <w:rPr>
          <w:rStyle w:val="CommentReference"/>
        </w:rPr>
        <w:annotationRef/>
      </w:r>
      <w:r>
        <w:t>This section will be removed in the final version</w:t>
      </w:r>
    </w:p>
  </w:comment>
  <w:comment w:id="123" w:author="RAN2#116-e" w:date="2021-11-12T10:38:00Z" w:initials="HW">
    <w:p w14:paraId="0636CC06" w14:textId="48F9E38F" w:rsidR="00832D04" w:rsidRDefault="00832D04">
      <w:pPr>
        <w:pStyle w:val="CommentText"/>
      </w:pPr>
      <w:r>
        <w:rPr>
          <w:rStyle w:val="CommentReference"/>
        </w:rPr>
        <w:annotationRef/>
      </w:r>
      <w:r>
        <w:t>the paragraph above have been removed form the spec via CR 1359 (</w:t>
      </w:r>
      <w:r w:rsidRPr="00832D04">
        <w:t>R2-2111317</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DF1F70" w15:done="0"/>
  <w15:commentEx w15:paraId="359BB14D" w15:done="0"/>
  <w15:commentEx w15:paraId="0636C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CCB9A" w14:textId="77777777" w:rsidR="00ED77C9" w:rsidRDefault="00ED77C9">
      <w:r>
        <w:separator/>
      </w:r>
    </w:p>
  </w:endnote>
  <w:endnote w:type="continuationSeparator" w:id="0">
    <w:p w14:paraId="50855908" w14:textId="77777777" w:rsidR="00ED77C9" w:rsidRDefault="00ED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4AE28" w14:textId="77777777" w:rsidR="00ED77C9" w:rsidRDefault="00ED77C9">
      <w:r>
        <w:separator/>
      </w:r>
    </w:p>
  </w:footnote>
  <w:footnote w:type="continuationSeparator" w:id="0">
    <w:p w14:paraId="5C2FC2B4" w14:textId="77777777" w:rsidR="00ED77C9" w:rsidRDefault="00ED7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5EA2"/>
    <w:rsid w:val="000816CF"/>
    <w:rsid w:val="000A6394"/>
    <w:rsid w:val="000B7FED"/>
    <w:rsid w:val="000C038A"/>
    <w:rsid w:val="000C6598"/>
    <w:rsid w:val="000D44B3"/>
    <w:rsid w:val="000D634D"/>
    <w:rsid w:val="000E7A38"/>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42722"/>
    <w:rsid w:val="00255885"/>
    <w:rsid w:val="00256FB3"/>
    <w:rsid w:val="0026004D"/>
    <w:rsid w:val="002640DD"/>
    <w:rsid w:val="00275D12"/>
    <w:rsid w:val="00284FEB"/>
    <w:rsid w:val="002860C4"/>
    <w:rsid w:val="00292E9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2271"/>
    <w:rsid w:val="00445482"/>
    <w:rsid w:val="00464DFC"/>
    <w:rsid w:val="00482F60"/>
    <w:rsid w:val="004A555F"/>
    <w:rsid w:val="004B75B7"/>
    <w:rsid w:val="004C69CE"/>
    <w:rsid w:val="00513680"/>
    <w:rsid w:val="00514F13"/>
    <w:rsid w:val="0051580D"/>
    <w:rsid w:val="00533BA5"/>
    <w:rsid w:val="00533C31"/>
    <w:rsid w:val="00547111"/>
    <w:rsid w:val="00570BDF"/>
    <w:rsid w:val="0057308E"/>
    <w:rsid w:val="00584127"/>
    <w:rsid w:val="00592D74"/>
    <w:rsid w:val="005A7B23"/>
    <w:rsid w:val="005E2C44"/>
    <w:rsid w:val="005F7313"/>
    <w:rsid w:val="00621188"/>
    <w:rsid w:val="006257ED"/>
    <w:rsid w:val="00633C8B"/>
    <w:rsid w:val="00635BB2"/>
    <w:rsid w:val="00665C47"/>
    <w:rsid w:val="00691466"/>
    <w:rsid w:val="006915CD"/>
    <w:rsid w:val="00695808"/>
    <w:rsid w:val="006B46FB"/>
    <w:rsid w:val="006E21FB"/>
    <w:rsid w:val="00712CF5"/>
    <w:rsid w:val="00741283"/>
    <w:rsid w:val="00746767"/>
    <w:rsid w:val="007916CE"/>
    <w:rsid w:val="00792342"/>
    <w:rsid w:val="007977A8"/>
    <w:rsid w:val="007A7ACD"/>
    <w:rsid w:val="007B14E0"/>
    <w:rsid w:val="007B512A"/>
    <w:rsid w:val="007C2097"/>
    <w:rsid w:val="007C661C"/>
    <w:rsid w:val="007D1DD0"/>
    <w:rsid w:val="007D6A07"/>
    <w:rsid w:val="007F7259"/>
    <w:rsid w:val="008040A8"/>
    <w:rsid w:val="008279FA"/>
    <w:rsid w:val="00832D04"/>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777D9"/>
    <w:rsid w:val="009816A9"/>
    <w:rsid w:val="00981E12"/>
    <w:rsid w:val="00984FE3"/>
    <w:rsid w:val="00991B88"/>
    <w:rsid w:val="009A5753"/>
    <w:rsid w:val="009A579D"/>
    <w:rsid w:val="009E3297"/>
    <w:rsid w:val="009F734F"/>
    <w:rsid w:val="00A246B6"/>
    <w:rsid w:val="00A30DB9"/>
    <w:rsid w:val="00A37B70"/>
    <w:rsid w:val="00A47E70"/>
    <w:rsid w:val="00A50CF0"/>
    <w:rsid w:val="00A7671C"/>
    <w:rsid w:val="00A832AA"/>
    <w:rsid w:val="00AA2CBC"/>
    <w:rsid w:val="00AC5820"/>
    <w:rsid w:val="00AD1CD8"/>
    <w:rsid w:val="00B258BB"/>
    <w:rsid w:val="00B67B97"/>
    <w:rsid w:val="00B82A91"/>
    <w:rsid w:val="00B968C8"/>
    <w:rsid w:val="00BA3EC5"/>
    <w:rsid w:val="00BA51D9"/>
    <w:rsid w:val="00BB5DFC"/>
    <w:rsid w:val="00BC2C28"/>
    <w:rsid w:val="00BD279D"/>
    <w:rsid w:val="00BD6BB8"/>
    <w:rsid w:val="00BF38BE"/>
    <w:rsid w:val="00C05D96"/>
    <w:rsid w:val="00C06A23"/>
    <w:rsid w:val="00C24166"/>
    <w:rsid w:val="00C24ECD"/>
    <w:rsid w:val="00C45697"/>
    <w:rsid w:val="00C66BA2"/>
    <w:rsid w:val="00C73A40"/>
    <w:rsid w:val="00C93F30"/>
    <w:rsid w:val="00C95985"/>
    <w:rsid w:val="00CB18A1"/>
    <w:rsid w:val="00CB3E98"/>
    <w:rsid w:val="00CC2D8E"/>
    <w:rsid w:val="00CC5026"/>
    <w:rsid w:val="00CC68D0"/>
    <w:rsid w:val="00CE2BFD"/>
    <w:rsid w:val="00D03F9A"/>
    <w:rsid w:val="00D06D51"/>
    <w:rsid w:val="00D24991"/>
    <w:rsid w:val="00D50255"/>
    <w:rsid w:val="00D5420A"/>
    <w:rsid w:val="00D55280"/>
    <w:rsid w:val="00D66520"/>
    <w:rsid w:val="00D801A5"/>
    <w:rsid w:val="00DB4DA1"/>
    <w:rsid w:val="00DC7966"/>
    <w:rsid w:val="00DD34D7"/>
    <w:rsid w:val="00DD600F"/>
    <w:rsid w:val="00DE34CF"/>
    <w:rsid w:val="00DE6F84"/>
    <w:rsid w:val="00E13F3D"/>
    <w:rsid w:val="00E227D5"/>
    <w:rsid w:val="00E31F43"/>
    <w:rsid w:val="00E34898"/>
    <w:rsid w:val="00E41762"/>
    <w:rsid w:val="00E64F25"/>
    <w:rsid w:val="00E75337"/>
    <w:rsid w:val="00E817DB"/>
    <w:rsid w:val="00EA2E93"/>
    <w:rsid w:val="00EB09B7"/>
    <w:rsid w:val="00ED0553"/>
    <w:rsid w:val="00ED77C9"/>
    <w:rsid w:val="00EE4218"/>
    <w:rsid w:val="00EE7D7C"/>
    <w:rsid w:val="00EF431E"/>
    <w:rsid w:val="00F022C7"/>
    <w:rsid w:val="00F10EF9"/>
    <w:rsid w:val="00F2047A"/>
    <w:rsid w:val="00F25D98"/>
    <w:rsid w:val="00F300FB"/>
    <w:rsid w:val="00F35776"/>
    <w:rsid w:val="00F45800"/>
    <w:rsid w:val="00F47D6B"/>
    <w:rsid w:val="00F503EF"/>
    <w:rsid w:val="00F5728F"/>
    <w:rsid w:val="00F90F35"/>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oleObject" Target="embeddings/Microsoft_Visio_2003-2010_Drawing3.vsd"/><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1.vsd"/><Relationship Id="rId25" Type="http://schemas.openxmlformats.org/officeDocument/2006/relationships/image" Target="media/image6.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emf"/><Relationship Id="rId28" Type="http://schemas.microsoft.com/office/2011/relationships/commentsExtended" Target="commentsExtended.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Microsoft_Visio_2003-2010_Drawing2.vsd"/><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comments" Target="comments.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3.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735B2-8D0E-4325-88C4-39D88A59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8</Pages>
  <Words>3048</Words>
  <Characters>17379</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1900-01-01T00:00:00Z</cp:lastPrinted>
  <dcterms:created xsi:type="dcterms:W3CDTF">2021-11-12T10:53:00Z</dcterms:created>
  <dcterms:modified xsi:type="dcterms:W3CDTF">2021-11-26T11:27:00Z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1637924566</vt:lpwstr>
  </property>
</Properties>
</file>