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Heading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lastRenderedPageBreak/>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B1296E">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B1296E">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940111" w:rsidRPr="00BD4B02" w14:paraId="47A07EAA" w14:textId="77777777" w:rsidTr="002368B0">
        <w:tc>
          <w:tcPr>
            <w:tcW w:w="1525" w:type="dxa"/>
          </w:tcPr>
          <w:p w14:paraId="3765491C" w14:textId="77777777" w:rsidR="00940111" w:rsidRPr="00BD4B02" w:rsidRDefault="00940111" w:rsidP="00940111">
            <w:pPr>
              <w:rPr>
                <w:sz w:val="22"/>
                <w:szCs w:val="22"/>
              </w:rPr>
            </w:pPr>
          </w:p>
        </w:tc>
        <w:tc>
          <w:tcPr>
            <w:tcW w:w="1980" w:type="dxa"/>
          </w:tcPr>
          <w:p w14:paraId="43B28BEA" w14:textId="77777777" w:rsidR="00940111" w:rsidRPr="00BD4B02" w:rsidRDefault="00940111" w:rsidP="00940111">
            <w:pPr>
              <w:rPr>
                <w:sz w:val="22"/>
                <w:szCs w:val="22"/>
              </w:rPr>
            </w:pPr>
          </w:p>
        </w:tc>
        <w:tc>
          <w:tcPr>
            <w:tcW w:w="5845" w:type="dxa"/>
          </w:tcPr>
          <w:p w14:paraId="33AE7A8F" w14:textId="77777777" w:rsidR="00940111" w:rsidRPr="00BD4B02" w:rsidRDefault="00940111" w:rsidP="00940111">
            <w:pPr>
              <w:rPr>
                <w:sz w:val="22"/>
                <w:szCs w:val="22"/>
              </w:rPr>
            </w:pPr>
          </w:p>
        </w:tc>
      </w:tr>
      <w:tr w:rsidR="00940111" w:rsidRPr="00BD4B02" w14:paraId="672476E7" w14:textId="77777777" w:rsidTr="002368B0">
        <w:tc>
          <w:tcPr>
            <w:tcW w:w="1525" w:type="dxa"/>
          </w:tcPr>
          <w:p w14:paraId="73281ADE" w14:textId="77777777" w:rsidR="00940111" w:rsidRPr="00BD4B02" w:rsidRDefault="00940111" w:rsidP="00940111">
            <w:pPr>
              <w:rPr>
                <w:sz w:val="22"/>
                <w:szCs w:val="22"/>
              </w:rPr>
            </w:pPr>
          </w:p>
        </w:tc>
        <w:tc>
          <w:tcPr>
            <w:tcW w:w="1980" w:type="dxa"/>
          </w:tcPr>
          <w:p w14:paraId="649BB20E" w14:textId="77777777" w:rsidR="00940111" w:rsidRPr="00BD4B02" w:rsidRDefault="00940111" w:rsidP="00940111">
            <w:pPr>
              <w:rPr>
                <w:sz w:val="22"/>
                <w:szCs w:val="22"/>
              </w:rPr>
            </w:pPr>
          </w:p>
        </w:tc>
        <w:tc>
          <w:tcPr>
            <w:tcW w:w="5845" w:type="dxa"/>
          </w:tcPr>
          <w:p w14:paraId="440AA338" w14:textId="77777777" w:rsidR="00940111" w:rsidRPr="00BD4B02" w:rsidRDefault="00940111" w:rsidP="00940111">
            <w:pPr>
              <w:rPr>
                <w:sz w:val="22"/>
                <w:szCs w:val="22"/>
              </w:rPr>
            </w:pPr>
          </w:p>
        </w:tc>
      </w:tr>
      <w:tr w:rsidR="00940111" w:rsidRPr="00BD4B02" w14:paraId="3E113CA2" w14:textId="77777777" w:rsidTr="002368B0">
        <w:tc>
          <w:tcPr>
            <w:tcW w:w="1525" w:type="dxa"/>
          </w:tcPr>
          <w:p w14:paraId="7CF27AC5" w14:textId="77777777" w:rsidR="00940111" w:rsidRPr="00BD4B02" w:rsidRDefault="00940111" w:rsidP="00940111">
            <w:pPr>
              <w:rPr>
                <w:sz w:val="22"/>
                <w:szCs w:val="22"/>
              </w:rPr>
            </w:pPr>
          </w:p>
        </w:tc>
        <w:tc>
          <w:tcPr>
            <w:tcW w:w="1980" w:type="dxa"/>
          </w:tcPr>
          <w:p w14:paraId="7D5CC542" w14:textId="77777777" w:rsidR="00940111" w:rsidRPr="00BD4B02" w:rsidRDefault="00940111" w:rsidP="00940111">
            <w:pPr>
              <w:rPr>
                <w:sz w:val="22"/>
                <w:szCs w:val="22"/>
              </w:rPr>
            </w:pPr>
          </w:p>
        </w:tc>
        <w:tc>
          <w:tcPr>
            <w:tcW w:w="5845" w:type="dxa"/>
          </w:tcPr>
          <w:p w14:paraId="6B08722E" w14:textId="77777777" w:rsidR="00940111" w:rsidRPr="00BD4B02" w:rsidRDefault="00940111" w:rsidP="0094011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B1296E">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B1296E">
            <w:pPr>
              <w:rPr>
                <w:rFonts w:eastAsia="SimSun"/>
                <w:sz w:val="22"/>
                <w:szCs w:val="22"/>
                <w:lang w:eastAsia="zh-CN"/>
              </w:rPr>
            </w:pPr>
            <w:r>
              <w:rPr>
                <w:rFonts w:eastAsia="SimSun"/>
                <w:sz w:val="22"/>
                <w:szCs w:val="22"/>
                <w:lang w:eastAsia="zh-CN"/>
              </w:rPr>
              <w:t>We think this release is discussed under the assumption of GNSS capability, and updating the field description for NTN is needed.</w:t>
            </w:r>
          </w:p>
        </w:tc>
      </w:tr>
      <w:tr w:rsidR="004A3741" w14:paraId="5BCFF918" w14:textId="77777777" w:rsidTr="00B1296E">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B1296E">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B1296E">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If using the existing field, t</w:t>
            </w:r>
            <w:r>
              <w:rPr>
                <w:sz w:val="22"/>
                <w:szCs w:val="22"/>
              </w:rPr>
              <w:t>he field description needs to be updated.</w:t>
            </w:r>
            <w:r>
              <w:rPr>
                <w:sz w:val="22"/>
                <w:szCs w:val="22"/>
              </w:rPr>
              <w:t xml:space="preserve"> </w:t>
            </w:r>
          </w:p>
          <w:p w14:paraId="4711C6C1" w14:textId="2EAF514D" w:rsidR="00940111" w:rsidRDefault="00940111" w:rsidP="00936692">
            <w:pPr>
              <w:rPr>
                <w:sz w:val="22"/>
                <w:szCs w:val="22"/>
              </w:rPr>
            </w:pPr>
            <w:r>
              <w:rPr>
                <w:sz w:val="22"/>
                <w:szCs w:val="22"/>
              </w:rPr>
              <w:t xml:space="preserve">Possibly, GNSS capability can be </w:t>
            </w:r>
            <w:r>
              <w:rPr>
                <w:sz w:val="22"/>
                <w:szCs w:val="22"/>
              </w:rPr>
              <w:t xml:space="preserve">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lastRenderedPageBreak/>
              <w:t xml:space="preserve">Thus, we need to discuss if a “NR NTN UE” needs to be defined. </w:t>
            </w:r>
          </w:p>
        </w:tc>
      </w:tr>
      <w:tr w:rsidR="00936692" w:rsidRPr="00BD4B02" w14:paraId="28D3D781" w14:textId="77777777" w:rsidTr="00265252">
        <w:tc>
          <w:tcPr>
            <w:tcW w:w="1525" w:type="dxa"/>
          </w:tcPr>
          <w:p w14:paraId="0391F83E" w14:textId="77777777" w:rsidR="00936692" w:rsidRPr="00BD4B02" w:rsidRDefault="00936692" w:rsidP="00936692">
            <w:pPr>
              <w:rPr>
                <w:sz w:val="22"/>
                <w:szCs w:val="22"/>
              </w:rPr>
            </w:pPr>
          </w:p>
        </w:tc>
        <w:tc>
          <w:tcPr>
            <w:tcW w:w="1980" w:type="dxa"/>
          </w:tcPr>
          <w:p w14:paraId="11ED1DCB" w14:textId="77777777" w:rsidR="00936692" w:rsidRPr="00BD4B02" w:rsidRDefault="00936692" w:rsidP="00936692">
            <w:pPr>
              <w:rPr>
                <w:sz w:val="22"/>
                <w:szCs w:val="22"/>
              </w:rPr>
            </w:pPr>
          </w:p>
        </w:tc>
        <w:tc>
          <w:tcPr>
            <w:tcW w:w="5845" w:type="dxa"/>
          </w:tcPr>
          <w:p w14:paraId="509CC239" w14:textId="77777777" w:rsidR="00936692" w:rsidRPr="00BD4B02" w:rsidRDefault="00936692" w:rsidP="00936692">
            <w:pPr>
              <w:rPr>
                <w:sz w:val="22"/>
                <w:szCs w:val="22"/>
              </w:rPr>
            </w:pPr>
          </w:p>
        </w:tc>
      </w:tr>
      <w:tr w:rsidR="00936692" w:rsidRPr="00BD4B02" w14:paraId="7C483E4E" w14:textId="77777777" w:rsidTr="00265252">
        <w:tc>
          <w:tcPr>
            <w:tcW w:w="1525" w:type="dxa"/>
          </w:tcPr>
          <w:p w14:paraId="61FF3EB0" w14:textId="77777777" w:rsidR="00936692" w:rsidRPr="00BD4B02" w:rsidRDefault="00936692" w:rsidP="00936692">
            <w:pPr>
              <w:rPr>
                <w:sz w:val="22"/>
                <w:szCs w:val="22"/>
              </w:rPr>
            </w:pPr>
          </w:p>
        </w:tc>
        <w:tc>
          <w:tcPr>
            <w:tcW w:w="1980" w:type="dxa"/>
          </w:tcPr>
          <w:p w14:paraId="1814C313" w14:textId="77777777" w:rsidR="00936692" w:rsidRPr="00BD4B02" w:rsidRDefault="00936692" w:rsidP="00936692">
            <w:pPr>
              <w:rPr>
                <w:sz w:val="22"/>
                <w:szCs w:val="22"/>
              </w:rPr>
            </w:pPr>
          </w:p>
        </w:tc>
        <w:tc>
          <w:tcPr>
            <w:tcW w:w="5845" w:type="dxa"/>
          </w:tcPr>
          <w:p w14:paraId="6F8C8146" w14:textId="77777777" w:rsidR="00936692" w:rsidRPr="00BD4B02" w:rsidRDefault="00936692" w:rsidP="00936692">
            <w:pPr>
              <w:rPr>
                <w:sz w:val="22"/>
                <w:szCs w:val="22"/>
              </w:rPr>
            </w:pPr>
          </w:p>
        </w:tc>
      </w:tr>
      <w:tr w:rsidR="00936692" w:rsidRPr="00BD4B02" w14:paraId="31351371" w14:textId="77777777" w:rsidTr="00265252">
        <w:tc>
          <w:tcPr>
            <w:tcW w:w="1525" w:type="dxa"/>
          </w:tcPr>
          <w:p w14:paraId="7A8B3B7B" w14:textId="77777777" w:rsidR="00936692" w:rsidRPr="00BD4B02" w:rsidRDefault="00936692" w:rsidP="00936692">
            <w:pPr>
              <w:rPr>
                <w:sz w:val="22"/>
                <w:szCs w:val="22"/>
              </w:rPr>
            </w:pPr>
          </w:p>
        </w:tc>
        <w:tc>
          <w:tcPr>
            <w:tcW w:w="1980" w:type="dxa"/>
          </w:tcPr>
          <w:p w14:paraId="4A75D558" w14:textId="77777777" w:rsidR="00936692" w:rsidRPr="00BD4B02" w:rsidRDefault="00936692" w:rsidP="00936692">
            <w:pPr>
              <w:rPr>
                <w:sz w:val="22"/>
                <w:szCs w:val="22"/>
              </w:rPr>
            </w:pPr>
          </w:p>
        </w:tc>
        <w:tc>
          <w:tcPr>
            <w:tcW w:w="5845" w:type="dxa"/>
          </w:tcPr>
          <w:p w14:paraId="25866DF5" w14:textId="77777777" w:rsidR="00936692" w:rsidRPr="00BD4B02" w:rsidRDefault="00936692" w:rsidP="00936692">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72.4pt;mso-width-percent:0;mso-height-percent:0;mso-width-percent:0;mso-height-percent:0" o:ole="">
            <v:imagedata r:id="rId11" o:title=""/>
          </v:shape>
          <o:OLEObject Type="Embed" ProgID="Visio.Drawing.15" ShapeID="_x0000_i1025" DrawAspect="Content" ObjectID="_1700636230"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lastRenderedPageBreak/>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ListParagraph"/>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ListParagraph"/>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ListParagraph"/>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ListParagraph"/>
        <w:numPr>
          <w:ilvl w:val="0"/>
          <w:numId w:val="41"/>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ListParagraph"/>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ListParagraph"/>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ListParagraph"/>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lastRenderedPageBreak/>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B1296E">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B1296E">
        <w:tc>
          <w:tcPr>
            <w:tcW w:w="1525" w:type="dxa"/>
          </w:tcPr>
          <w:p w14:paraId="745FD986" w14:textId="334EA5D2" w:rsidR="0014298F" w:rsidRPr="004A3741" w:rsidRDefault="004A3741" w:rsidP="00B1296E">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B1296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UE-gNB RTT for e.g.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B1296E">
        <w:tc>
          <w:tcPr>
            <w:tcW w:w="1525" w:type="dxa"/>
          </w:tcPr>
          <w:p w14:paraId="6CE81798" w14:textId="47758843" w:rsidR="00936692" w:rsidRPr="00BD4B02" w:rsidRDefault="00936692" w:rsidP="00936692">
            <w:pPr>
              <w:rPr>
                <w:sz w:val="22"/>
                <w:szCs w:val="22"/>
              </w:rPr>
            </w:pPr>
            <w:r>
              <w:rPr>
                <w:rFonts w:hint="eastAsia"/>
                <w:sz w:val="22"/>
                <w:szCs w:val="22"/>
                <w:lang w:eastAsia="ko-KR"/>
              </w:rPr>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B1296E">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w:t>
            </w:r>
            <w:proofErr w:type="gramStart"/>
            <w:r>
              <w:rPr>
                <w:sz w:val="22"/>
                <w:szCs w:val="22"/>
              </w:rPr>
              <w:t>configure.</w:t>
            </w:r>
            <w:proofErr w:type="gramEnd"/>
            <w:r>
              <w:rPr>
                <w:sz w:val="22"/>
                <w:szCs w:val="22"/>
              </w:rPr>
              <w:t xml:space="preserve"> Is it the 32 HARQ processes defined by RAN1? RAN1 already have a UE capability for 32 HARQ processes. </w:t>
            </w:r>
          </w:p>
        </w:tc>
      </w:tr>
      <w:tr w:rsidR="00940111" w:rsidRPr="00BD4B02" w14:paraId="59B5D4B6" w14:textId="77777777" w:rsidTr="00265252">
        <w:tc>
          <w:tcPr>
            <w:tcW w:w="1525" w:type="dxa"/>
          </w:tcPr>
          <w:p w14:paraId="5C379BCF" w14:textId="77777777" w:rsidR="00940111" w:rsidRPr="00BD4B02" w:rsidRDefault="00940111" w:rsidP="00940111">
            <w:pPr>
              <w:rPr>
                <w:sz w:val="22"/>
                <w:szCs w:val="22"/>
              </w:rPr>
            </w:pPr>
          </w:p>
        </w:tc>
        <w:tc>
          <w:tcPr>
            <w:tcW w:w="1980" w:type="dxa"/>
          </w:tcPr>
          <w:p w14:paraId="5C613228" w14:textId="77777777" w:rsidR="00940111" w:rsidRPr="00BD4B02" w:rsidRDefault="00940111" w:rsidP="00940111">
            <w:pPr>
              <w:rPr>
                <w:sz w:val="22"/>
                <w:szCs w:val="22"/>
              </w:rPr>
            </w:pPr>
          </w:p>
        </w:tc>
        <w:tc>
          <w:tcPr>
            <w:tcW w:w="5845" w:type="dxa"/>
          </w:tcPr>
          <w:p w14:paraId="17CE2032" w14:textId="77777777" w:rsidR="00940111" w:rsidRPr="00BD4B02" w:rsidRDefault="00940111" w:rsidP="00940111">
            <w:pPr>
              <w:rPr>
                <w:sz w:val="22"/>
                <w:szCs w:val="22"/>
              </w:rPr>
            </w:pPr>
          </w:p>
        </w:tc>
      </w:tr>
      <w:tr w:rsidR="00940111" w:rsidRPr="00BD4B02" w14:paraId="7B5FEFB7" w14:textId="77777777" w:rsidTr="00265252">
        <w:tc>
          <w:tcPr>
            <w:tcW w:w="1525" w:type="dxa"/>
          </w:tcPr>
          <w:p w14:paraId="2FAE2CF3" w14:textId="77777777" w:rsidR="00940111" w:rsidRPr="00BD4B02" w:rsidRDefault="00940111" w:rsidP="00940111">
            <w:pPr>
              <w:rPr>
                <w:sz w:val="22"/>
                <w:szCs w:val="22"/>
              </w:rPr>
            </w:pPr>
          </w:p>
        </w:tc>
        <w:tc>
          <w:tcPr>
            <w:tcW w:w="1980" w:type="dxa"/>
          </w:tcPr>
          <w:p w14:paraId="47FF3028" w14:textId="77777777" w:rsidR="00940111" w:rsidRPr="00BD4B02" w:rsidRDefault="00940111" w:rsidP="00940111">
            <w:pPr>
              <w:rPr>
                <w:sz w:val="22"/>
                <w:szCs w:val="22"/>
              </w:rPr>
            </w:pPr>
          </w:p>
        </w:tc>
        <w:tc>
          <w:tcPr>
            <w:tcW w:w="5845" w:type="dxa"/>
          </w:tcPr>
          <w:p w14:paraId="23E74C1E" w14:textId="77777777" w:rsidR="00940111" w:rsidRPr="00BD4B02" w:rsidRDefault="00940111" w:rsidP="00940111">
            <w:pPr>
              <w:rPr>
                <w:sz w:val="22"/>
                <w:szCs w:val="22"/>
              </w:rPr>
            </w:pPr>
          </w:p>
        </w:tc>
      </w:tr>
      <w:tr w:rsidR="00940111" w:rsidRPr="00BD4B02" w14:paraId="55713451" w14:textId="77777777" w:rsidTr="00265252">
        <w:tc>
          <w:tcPr>
            <w:tcW w:w="1525" w:type="dxa"/>
          </w:tcPr>
          <w:p w14:paraId="2A7C3100" w14:textId="77777777" w:rsidR="00940111" w:rsidRPr="00BD4B02" w:rsidRDefault="00940111" w:rsidP="00940111">
            <w:pPr>
              <w:rPr>
                <w:sz w:val="22"/>
                <w:szCs w:val="22"/>
              </w:rPr>
            </w:pPr>
          </w:p>
        </w:tc>
        <w:tc>
          <w:tcPr>
            <w:tcW w:w="1980" w:type="dxa"/>
          </w:tcPr>
          <w:p w14:paraId="797087AA" w14:textId="77777777" w:rsidR="00940111" w:rsidRPr="00BD4B02" w:rsidRDefault="00940111" w:rsidP="00940111">
            <w:pPr>
              <w:rPr>
                <w:sz w:val="22"/>
                <w:szCs w:val="22"/>
              </w:rPr>
            </w:pPr>
          </w:p>
        </w:tc>
        <w:tc>
          <w:tcPr>
            <w:tcW w:w="5845" w:type="dxa"/>
          </w:tcPr>
          <w:p w14:paraId="6D118D93" w14:textId="77777777" w:rsidR="00940111" w:rsidRPr="00BD4B02" w:rsidRDefault="00940111" w:rsidP="0094011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3pt;height:252pt;mso-width-percent:0;mso-height-percent:0;mso-width-percent:0;mso-height-percent:0" o:ole="">
            <v:imagedata r:id="rId13" o:title=""/>
          </v:shape>
          <o:OLEObject Type="Embed" ProgID="Visio.Drawing.15" ShapeID="_x0000_i1026" DrawAspect="Content" ObjectID="_1700636231"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ListParagraph"/>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ListParagraph"/>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ListParagraph"/>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ListParagraph"/>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lastRenderedPageBreak/>
        <w:t>Optional sub-features include:</w:t>
      </w:r>
    </w:p>
    <w:p w14:paraId="351A4AFA" w14:textId="708C9441" w:rsidR="008321FF" w:rsidRDefault="00E32E05" w:rsidP="008321FF">
      <w:pPr>
        <w:pStyle w:val="ListParagraph"/>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ListParagraph"/>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ListParagraph"/>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ListParagraph"/>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ListParagraph"/>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3EE2B82" w14:textId="409FD55B" w:rsidR="008321FF" w:rsidRPr="007F1D96" w:rsidRDefault="007F1D96" w:rsidP="00B1296E">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B1296E">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TN prioritization over NTN, in RAN2#115e, it was agreed that RAN2 continue discussing the exact solution for TN 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So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B1296E">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B1296E">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940111" w:rsidRPr="00BD4B02" w14:paraId="1FF081AC" w14:textId="77777777" w:rsidTr="00265252">
        <w:tc>
          <w:tcPr>
            <w:tcW w:w="1525" w:type="dxa"/>
          </w:tcPr>
          <w:p w14:paraId="72F0E143" w14:textId="77777777" w:rsidR="00940111" w:rsidRPr="00BD4B02" w:rsidRDefault="00940111" w:rsidP="00940111">
            <w:pPr>
              <w:rPr>
                <w:sz w:val="22"/>
                <w:szCs w:val="22"/>
              </w:rPr>
            </w:pPr>
          </w:p>
        </w:tc>
        <w:tc>
          <w:tcPr>
            <w:tcW w:w="1980" w:type="dxa"/>
          </w:tcPr>
          <w:p w14:paraId="1DFEBF61" w14:textId="77777777" w:rsidR="00940111" w:rsidRPr="00BD4B02" w:rsidRDefault="00940111" w:rsidP="00940111">
            <w:pPr>
              <w:rPr>
                <w:sz w:val="22"/>
                <w:szCs w:val="22"/>
              </w:rPr>
            </w:pPr>
          </w:p>
        </w:tc>
        <w:tc>
          <w:tcPr>
            <w:tcW w:w="5845" w:type="dxa"/>
          </w:tcPr>
          <w:p w14:paraId="51009F6A" w14:textId="77777777" w:rsidR="00940111" w:rsidRPr="00BD4B02" w:rsidRDefault="00940111" w:rsidP="00940111">
            <w:pPr>
              <w:rPr>
                <w:sz w:val="22"/>
                <w:szCs w:val="22"/>
              </w:rPr>
            </w:pPr>
          </w:p>
        </w:tc>
      </w:tr>
      <w:tr w:rsidR="00940111" w:rsidRPr="00BD4B02" w14:paraId="340329CC" w14:textId="77777777" w:rsidTr="00265252">
        <w:tc>
          <w:tcPr>
            <w:tcW w:w="1525" w:type="dxa"/>
          </w:tcPr>
          <w:p w14:paraId="68AB66FE" w14:textId="77777777" w:rsidR="00940111" w:rsidRPr="00BD4B02" w:rsidRDefault="00940111" w:rsidP="00940111">
            <w:pPr>
              <w:rPr>
                <w:sz w:val="22"/>
                <w:szCs w:val="22"/>
              </w:rPr>
            </w:pPr>
          </w:p>
        </w:tc>
        <w:tc>
          <w:tcPr>
            <w:tcW w:w="1980" w:type="dxa"/>
          </w:tcPr>
          <w:p w14:paraId="129B115E" w14:textId="77777777" w:rsidR="00940111" w:rsidRPr="00BD4B02" w:rsidRDefault="00940111" w:rsidP="00940111">
            <w:pPr>
              <w:rPr>
                <w:sz w:val="22"/>
                <w:szCs w:val="22"/>
              </w:rPr>
            </w:pPr>
          </w:p>
        </w:tc>
        <w:tc>
          <w:tcPr>
            <w:tcW w:w="5845" w:type="dxa"/>
          </w:tcPr>
          <w:p w14:paraId="61F5F69F" w14:textId="77777777" w:rsidR="00940111" w:rsidRPr="00BD4B02" w:rsidRDefault="00940111" w:rsidP="00940111">
            <w:pPr>
              <w:rPr>
                <w:sz w:val="22"/>
                <w:szCs w:val="22"/>
              </w:rPr>
            </w:pPr>
          </w:p>
        </w:tc>
      </w:tr>
      <w:tr w:rsidR="00940111" w:rsidRPr="00BD4B02" w14:paraId="6FEEC721" w14:textId="77777777" w:rsidTr="00265252">
        <w:tc>
          <w:tcPr>
            <w:tcW w:w="1525" w:type="dxa"/>
          </w:tcPr>
          <w:p w14:paraId="7867507F" w14:textId="77777777" w:rsidR="00940111" w:rsidRPr="00BD4B02" w:rsidRDefault="00940111" w:rsidP="00940111">
            <w:pPr>
              <w:rPr>
                <w:sz w:val="22"/>
                <w:szCs w:val="22"/>
              </w:rPr>
            </w:pPr>
          </w:p>
        </w:tc>
        <w:tc>
          <w:tcPr>
            <w:tcW w:w="1980" w:type="dxa"/>
          </w:tcPr>
          <w:p w14:paraId="2E880CBA" w14:textId="77777777" w:rsidR="00940111" w:rsidRPr="00BD4B02" w:rsidRDefault="00940111" w:rsidP="00940111">
            <w:pPr>
              <w:rPr>
                <w:sz w:val="22"/>
                <w:szCs w:val="22"/>
              </w:rPr>
            </w:pPr>
          </w:p>
        </w:tc>
        <w:tc>
          <w:tcPr>
            <w:tcW w:w="5845" w:type="dxa"/>
          </w:tcPr>
          <w:p w14:paraId="345D0753" w14:textId="77777777" w:rsidR="00940111" w:rsidRPr="00BD4B02" w:rsidRDefault="00940111" w:rsidP="0094011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B1296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B1296E">
            <w:pPr>
              <w:rPr>
                <w:rFonts w:eastAsia="SimSun"/>
                <w:sz w:val="22"/>
                <w:szCs w:val="22"/>
                <w:lang w:eastAsia="zh-CN"/>
              </w:rPr>
            </w:pPr>
            <w:r>
              <w:rPr>
                <w:rFonts w:eastAsia="SimSun"/>
                <w:sz w:val="22"/>
                <w:szCs w:val="22"/>
                <w:lang w:eastAsia="zh-CN"/>
              </w:rPr>
              <w:t xml:space="preserve">So far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lastRenderedPageBreak/>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940111" w14:paraId="10066E7F" w14:textId="77777777" w:rsidTr="003722C0">
        <w:tc>
          <w:tcPr>
            <w:tcW w:w="1525" w:type="dxa"/>
          </w:tcPr>
          <w:p w14:paraId="2AE6D11F" w14:textId="77777777" w:rsidR="00940111" w:rsidRPr="00BD4B02" w:rsidRDefault="00940111" w:rsidP="00940111">
            <w:pPr>
              <w:rPr>
                <w:sz w:val="22"/>
                <w:szCs w:val="22"/>
              </w:rPr>
            </w:pPr>
          </w:p>
        </w:tc>
        <w:tc>
          <w:tcPr>
            <w:tcW w:w="1980" w:type="dxa"/>
          </w:tcPr>
          <w:p w14:paraId="73F153F9" w14:textId="77777777" w:rsidR="00940111" w:rsidRPr="00BD4B02" w:rsidRDefault="00940111" w:rsidP="00940111">
            <w:pPr>
              <w:rPr>
                <w:sz w:val="22"/>
                <w:szCs w:val="22"/>
              </w:rPr>
            </w:pPr>
          </w:p>
        </w:tc>
        <w:tc>
          <w:tcPr>
            <w:tcW w:w="5845" w:type="dxa"/>
          </w:tcPr>
          <w:p w14:paraId="0C2F5CC3" w14:textId="77777777" w:rsidR="00940111" w:rsidRPr="00BD4B02" w:rsidRDefault="00940111" w:rsidP="00940111">
            <w:pPr>
              <w:rPr>
                <w:sz w:val="22"/>
                <w:szCs w:val="22"/>
              </w:rPr>
            </w:pPr>
          </w:p>
        </w:tc>
      </w:tr>
      <w:tr w:rsidR="00940111" w:rsidRPr="00BD4B02" w14:paraId="2CCD2AB1" w14:textId="77777777" w:rsidTr="003722C0">
        <w:tc>
          <w:tcPr>
            <w:tcW w:w="1525" w:type="dxa"/>
          </w:tcPr>
          <w:p w14:paraId="365A1DDF" w14:textId="77777777" w:rsidR="00940111" w:rsidRPr="00BD4B02" w:rsidRDefault="00940111" w:rsidP="00940111">
            <w:pPr>
              <w:rPr>
                <w:sz w:val="22"/>
                <w:szCs w:val="22"/>
              </w:rPr>
            </w:pPr>
          </w:p>
        </w:tc>
        <w:tc>
          <w:tcPr>
            <w:tcW w:w="1980" w:type="dxa"/>
          </w:tcPr>
          <w:p w14:paraId="3A38C89B" w14:textId="77777777" w:rsidR="00940111" w:rsidRPr="00BD4B02" w:rsidRDefault="00940111" w:rsidP="00940111">
            <w:pPr>
              <w:rPr>
                <w:sz w:val="22"/>
                <w:szCs w:val="22"/>
              </w:rPr>
            </w:pPr>
          </w:p>
        </w:tc>
        <w:tc>
          <w:tcPr>
            <w:tcW w:w="5845" w:type="dxa"/>
          </w:tcPr>
          <w:p w14:paraId="2F74BEEC" w14:textId="77777777" w:rsidR="00940111" w:rsidRPr="00BD4B02" w:rsidRDefault="00940111" w:rsidP="00940111">
            <w:pPr>
              <w:rPr>
                <w:sz w:val="22"/>
                <w:szCs w:val="22"/>
              </w:rPr>
            </w:pPr>
          </w:p>
        </w:tc>
      </w:tr>
      <w:tr w:rsidR="00940111" w:rsidRPr="00BD4B02" w14:paraId="0535B7BA" w14:textId="77777777" w:rsidTr="003722C0">
        <w:tc>
          <w:tcPr>
            <w:tcW w:w="1525" w:type="dxa"/>
          </w:tcPr>
          <w:p w14:paraId="55EBA2AA" w14:textId="77777777" w:rsidR="00940111" w:rsidRPr="00BD4B02" w:rsidRDefault="00940111" w:rsidP="00940111">
            <w:pPr>
              <w:rPr>
                <w:sz w:val="22"/>
                <w:szCs w:val="22"/>
              </w:rPr>
            </w:pPr>
          </w:p>
        </w:tc>
        <w:tc>
          <w:tcPr>
            <w:tcW w:w="1980" w:type="dxa"/>
          </w:tcPr>
          <w:p w14:paraId="4BCC2FD8" w14:textId="77777777" w:rsidR="00940111" w:rsidRPr="00BD4B02" w:rsidRDefault="00940111" w:rsidP="00940111">
            <w:pPr>
              <w:rPr>
                <w:sz w:val="22"/>
                <w:szCs w:val="22"/>
              </w:rPr>
            </w:pP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77777777" w:rsidR="00940111" w:rsidRPr="00BD4B02" w:rsidRDefault="00940111" w:rsidP="00940111">
            <w:pPr>
              <w:rPr>
                <w:sz w:val="22"/>
                <w:szCs w:val="22"/>
              </w:rPr>
            </w:pPr>
          </w:p>
        </w:tc>
        <w:tc>
          <w:tcPr>
            <w:tcW w:w="1980" w:type="dxa"/>
          </w:tcPr>
          <w:p w14:paraId="46DA348C" w14:textId="77777777" w:rsidR="00940111" w:rsidRPr="00BD4B02" w:rsidRDefault="00940111" w:rsidP="00940111">
            <w:pPr>
              <w:rPr>
                <w:sz w:val="22"/>
                <w:szCs w:val="22"/>
              </w:rPr>
            </w:pPr>
          </w:p>
        </w:tc>
        <w:tc>
          <w:tcPr>
            <w:tcW w:w="5845" w:type="dxa"/>
          </w:tcPr>
          <w:p w14:paraId="3C1EC8E2" w14:textId="77777777" w:rsidR="00940111" w:rsidRPr="00BD4B02" w:rsidRDefault="00940111" w:rsidP="00940111">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B1296E">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B1296E">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B1296E">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B1296E">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D560AA">
            <w:pPr>
              <w:pStyle w:val="ListParagraph"/>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ListParagraph"/>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940111" w14:paraId="47E5B14E" w14:textId="77777777" w:rsidTr="00265252">
        <w:tc>
          <w:tcPr>
            <w:tcW w:w="1525" w:type="dxa"/>
          </w:tcPr>
          <w:p w14:paraId="760A7D5B" w14:textId="77777777" w:rsidR="00940111" w:rsidRPr="00BD4B02" w:rsidRDefault="00940111" w:rsidP="00940111">
            <w:pPr>
              <w:rPr>
                <w:sz w:val="22"/>
                <w:szCs w:val="22"/>
              </w:rPr>
            </w:pPr>
          </w:p>
        </w:tc>
        <w:tc>
          <w:tcPr>
            <w:tcW w:w="7830" w:type="dxa"/>
          </w:tcPr>
          <w:p w14:paraId="165EA4D1" w14:textId="77777777" w:rsidR="00940111" w:rsidRPr="00BD4B02" w:rsidRDefault="00940111" w:rsidP="00940111">
            <w:pPr>
              <w:rPr>
                <w:sz w:val="22"/>
                <w:szCs w:val="22"/>
              </w:rPr>
            </w:pPr>
          </w:p>
        </w:tc>
      </w:tr>
      <w:tr w:rsidR="00940111" w14:paraId="7E4B5B7E" w14:textId="77777777" w:rsidTr="00265252">
        <w:tc>
          <w:tcPr>
            <w:tcW w:w="1525" w:type="dxa"/>
          </w:tcPr>
          <w:p w14:paraId="51CFCCD6" w14:textId="77777777" w:rsidR="00940111" w:rsidRPr="00BD4B02" w:rsidRDefault="00940111" w:rsidP="00940111">
            <w:pPr>
              <w:rPr>
                <w:sz w:val="22"/>
                <w:szCs w:val="22"/>
              </w:rPr>
            </w:pPr>
          </w:p>
        </w:tc>
        <w:tc>
          <w:tcPr>
            <w:tcW w:w="7830" w:type="dxa"/>
          </w:tcPr>
          <w:p w14:paraId="7D7EA34A" w14:textId="77777777" w:rsidR="00940111" w:rsidRPr="00BD4B02" w:rsidRDefault="00940111" w:rsidP="00940111">
            <w:pPr>
              <w:rPr>
                <w:sz w:val="22"/>
                <w:szCs w:val="22"/>
              </w:rPr>
            </w:pPr>
          </w:p>
        </w:tc>
      </w:tr>
      <w:tr w:rsidR="00940111" w14:paraId="7D4F8A00" w14:textId="77777777" w:rsidTr="00265252">
        <w:tc>
          <w:tcPr>
            <w:tcW w:w="1525" w:type="dxa"/>
          </w:tcPr>
          <w:p w14:paraId="2C01FCAB" w14:textId="77777777" w:rsidR="00940111" w:rsidRPr="00BD4B02" w:rsidRDefault="00940111" w:rsidP="00940111">
            <w:pPr>
              <w:rPr>
                <w:sz w:val="22"/>
                <w:szCs w:val="22"/>
              </w:rPr>
            </w:pPr>
          </w:p>
        </w:tc>
        <w:tc>
          <w:tcPr>
            <w:tcW w:w="7830" w:type="dxa"/>
          </w:tcPr>
          <w:p w14:paraId="31B4B9FA" w14:textId="77777777" w:rsidR="00940111" w:rsidRPr="00BD4B02" w:rsidRDefault="00940111" w:rsidP="00940111">
            <w:pPr>
              <w:rPr>
                <w:sz w:val="22"/>
                <w:szCs w:val="22"/>
              </w:rPr>
            </w:pPr>
          </w:p>
        </w:tc>
      </w:tr>
      <w:tr w:rsidR="00940111" w:rsidRPr="00BD4B02" w14:paraId="2862DA96" w14:textId="77777777" w:rsidTr="003142D1">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7B05D9">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72396B">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Heading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Heading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D3AD" w14:textId="77777777" w:rsidR="00BE2391" w:rsidRDefault="00BE2391" w:rsidP="00DD7929">
      <w:pPr>
        <w:spacing w:after="0"/>
      </w:pPr>
      <w:r>
        <w:separator/>
      </w:r>
    </w:p>
  </w:endnote>
  <w:endnote w:type="continuationSeparator" w:id="0">
    <w:p w14:paraId="0CFA79BE" w14:textId="77777777" w:rsidR="00BE2391" w:rsidRDefault="00BE2391" w:rsidP="00DD7929">
      <w:pPr>
        <w:spacing w:after="0"/>
      </w:pPr>
      <w:r>
        <w:continuationSeparator/>
      </w:r>
    </w:p>
  </w:endnote>
  <w:endnote w:type="continuationNotice" w:id="1">
    <w:p w14:paraId="7BCE3850" w14:textId="77777777" w:rsidR="00BE2391" w:rsidRDefault="00BE2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Header"/>
            <w:ind w:left="-115"/>
          </w:pPr>
        </w:p>
      </w:tc>
      <w:tc>
        <w:tcPr>
          <w:tcW w:w="3120" w:type="dxa"/>
        </w:tcPr>
        <w:p w14:paraId="0BC97BE0" w14:textId="1E9CFA69" w:rsidR="1A13E1F4" w:rsidRDefault="1A13E1F4" w:rsidP="00CD7F62">
          <w:pPr>
            <w:pStyle w:val="Header"/>
            <w:jc w:val="center"/>
          </w:pPr>
        </w:p>
      </w:tc>
      <w:tc>
        <w:tcPr>
          <w:tcW w:w="3120" w:type="dxa"/>
        </w:tcPr>
        <w:p w14:paraId="4F90D2E4" w14:textId="3F3D32A8" w:rsidR="1A13E1F4" w:rsidRDefault="1A13E1F4" w:rsidP="00CD7F62">
          <w:pPr>
            <w:pStyle w:val="Header"/>
            <w:ind w:right="-115"/>
            <w:jc w:val="right"/>
          </w:pPr>
        </w:p>
      </w:tc>
    </w:tr>
  </w:tbl>
  <w:p w14:paraId="15BFD531" w14:textId="2F405B10" w:rsidR="1A13E1F4" w:rsidRDefault="1A13E1F4"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E07DD" w14:textId="77777777" w:rsidR="00BE2391" w:rsidRDefault="00BE2391" w:rsidP="00DD7929">
      <w:pPr>
        <w:spacing w:after="0"/>
      </w:pPr>
      <w:r>
        <w:separator/>
      </w:r>
    </w:p>
  </w:footnote>
  <w:footnote w:type="continuationSeparator" w:id="0">
    <w:p w14:paraId="139C504A" w14:textId="77777777" w:rsidR="00BE2391" w:rsidRDefault="00BE2391" w:rsidP="00DD7929">
      <w:pPr>
        <w:spacing w:after="0"/>
      </w:pPr>
      <w:r>
        <w:continuationSeparator/>
      </w:r>
    </w:p>
  </w:footnote>
  <w:footnote w:type="continuationNotice" w:id="1">
    <w:p w14:paraId="7B4E8182" w14:textId="77777777" w:rsidR="00BE2391" w:rsidRDefault="00BE23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Header"/>
            <w:ind w:left="-115"/>
          </w:pPr>
        </w:p>
      </w:tc>
      <w:tc>
        <w:tcPr>
          <w:tcW w:w="3120" w:type="dxa"/>
        </w:tcPr>
        <w:p w14:paraId="6485A74A" w14:textId="08902875" w:rsidR="1A13E1F4" w:rsidRDefault="1A13E1F4" w:rsidP="002B6755">
          <w:pPr>
            <w:pStyle w:val="Header"/>
            <w:jc w:val="center"/>
          </w:pPr>
        </w:p>
      </w:tc>
      <w:tc>
        <w:tcPr>
          <w:tcW w:w="3120" w:type="dxa"/>
        </w:tcPr>
        <w:p w14:paraId="39EC062D" w14:textId="2EDD3A61" w:rsidR="1A13E1F4" w:rsidRDefault="1A13E1F4" w:rsidP="002B6755">
          <w:pPr>
            <w:pStyle w:val="Header"/>
            <w:ind w:right="-115"/>
            <w:jc w:val="right"/>
          </w:pPr>
        </w:p>
      </w:tc>
    </w:tr>
  </w:tbl>
  <w:p w14:paraId="11E4CC75" w14:textId="0C4951DC" w:rsidR="1A13E1F4" w:rsidRDefault="1A13E1F4"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741"/>
    <w:rsid w:val="004A3C65"/>
    <w:rsid w:val="004A3F4E"/>
    <w:rsid w:val="004A49A6"/>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D4439-DCCD-40A9-8E37-F076E10F5C0C}">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Ericsson (Robert)</cp:lastModifiedBy>
  <cp:revision>3</cp:revision>
  <dcterms:created xsi:type="dcterms:W3CDTF">2021-12-10T08:41:00Z</dcterms:created>
  <dcterms:modified xsi:type="dcterms:W3CDTF">2021-12-10T08:51:00Z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ies>
</file>