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][110][RedCap]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80D274"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rFonts w:hint="eastAsia"/>
                <w:sz w:val="20"/>
                <w:szCs w:val="20"/>
                <w:lang w:eastAsia="zh-CN"/>
              </w:rPr>
            </w:pPr>
            <w:r>
              <w:rPr>
                <w:rFonts w:hint="eastAsia"/>
                <w:sz w:val="20"/>
                <w:szCs w:val="20"/>
                <w:lang w:eastAsia="zh-CN"/>
              </w:rPr>
              <w:t>Huawei</w:t>
            </w:r>
            <w:r>
              <w:rPr>
                <w:sz w:val="20"/>
                <w:szCs w:val="20"/>
                <w:lang w:eastAsia="zh-CN"/>
              </w:rPr>
              <w:t>, HiSilicon</w:t>
            </w:r>
          </w:p>
        </w:tc>
        <w:tc>
          <w:tcPr>
            <w:tcW w:w="2687" w:type="dxa"/>
          </w:tcPr>
          <w:p w14:paraId="5F767AE4" w14:textId="0C7E6ED1" w:rsidR="0082140E" w:rsidRDefault="003A0B9F" w:rsidP="00F23B3C">
            <w:pPr>
              <w:spacing w:after="0"/>
              <w:rPr>
                <w:rFonts w:hint="eastAsia"/>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rFonts w:hint="eastAsia"/>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77777777" w:rsidR="0082140E" w:rsidRDefault="0082140E" w:rsidP="00F23B3C">
            <w:pPr>
              <w:spacing w:after="0"/>
              <w:rPr>
                <w:sz w:val="20"/>
                <w:szCs w:val="20"/>
                <w:lang w:eastAsia="ja-JP"/>
              </w:rPr>
            </w:pPr>
          </w:p>
        </w:tc>
        <w:tc>
          <w:tcPr>
            <w:tcW w:w="2687" w:type="dxa"/>
          </w:tcPr>
          <w:p w14:paraId="7E3F3F4C" w14:textId="77777777" w:rsidR="0082140E" w:rsidRDefault="0082140E" w:rsidP="00F23B3C">
            <w:pPr>
              <w:spacing w:after="0"/>
              <w:rPr>
                <w:sz w:val="20"/>
                <w:szCs w:val="20"/>
                <w:lang w:eastAsia="ja-JP"/>
              </w:rPr>
            </w:pPr>
          </w:p>
        </w:tc>
        <w:tc>
          <w:tcPr>
            <w:tcW w:w="4903" w:type="dxa"/>
          </w:tcPr>
          <w:p w14:paraId="5B6C3B45" w14:textId="77777777" w:rsidR="0082140E" w:rsidRDefault="0082140E" w:rsidP="00F23B3C">
            <w:pPr>
              <w:spacing w:after="0"/>
              <w:rPr>
                <w:sz w:val="20"/>
                <w:szCs w:val="20"/>
                <w:lang w:eastAsia="ja-JP"/>
              </w:rPr>
            </w:pPr>
          </w:p>
        </w:tc>
      </w:tr>
      <w:tr w:rsidR="0082140E" w14:paraId="6F16DB57" w14:textId="77777777" w:rsidTr="00F23B3C">
        <w:tc>
          <w:tcPr>
            <w:tcW w:w="1760" w:type="dxa"/>
          </w:tcPr>
          <w:p w14:paraId="1CF6E2E6" w14:textId="77777777" w:rsidR="0082140E" w:rsidRDefault="0082140E" w:rsidP="00F23B3C">
            <w:pPr>
              <w:spacing w:after="0"/>
              <w:rPr>
                <w:sz w:val="20"/>
                <w:szCs w:val="20"/>
                <w:lang w:eastAsia="ja-JP"/>
              </w:rPr>
            </w:pPr>
          </w:p>
        </w:tc>
        <w:tc>
          <w:tcPr>
            <w:tcW w:w="2687" w:type="dxa"/>
          </w:tcPr>
          <w:p w14:paraId="466B4854" w14:textId="77777777" w:rsidR="0082140E" w:rsidRDefault="0082140E" w:rsidP="00F23B3C">
            <w:pPr>
              <w:spacing w:after="0"/>
              <w:rPr>
                <w:sz w:val="20"/>
                <w:szCs w:val="20"/>
                <w:lang w:eastAsia="ja-JP"/>
              </w:rPr>
            </w:pPr>
          </w:p>
        </w:tc>
        <w:tc>
          <w:tcPr>
            <w:tcW w:w="4903" w:type="dxa"/>
          </w:tcPr>
          <w:p w14:paraId="1CC28FE4" w14:textId="77777777" w:rsidR="0082140E" w:rsidRDefault="0082140E" w:rsidP="00F23B3C">
            <w:pPr>
              <w:spacing w:after="0"/>
              <w:rPr>
                <w:sz w:val="20"/>
                <w:szCs w:val="20"/>
                <w:lang w:eastAsia="ja-JP"/>
              </w:rPr>
            </w:pPr>
          </w:p>
        </w:tc>
      </w:tr>
      <w:tr w:rsidR="0082140E" w14:paraId="191C4CD3" w14:textId="77777777" w:rsidTr="00F23B3C">
        <w:tc>
          <w:tcPr>
            <w:tcW w:w="1760" w:type="dxa"/>
          </w:tcPr>
          <w:p w14:paraId="5AE99DAD" w14:textId="77777777" w:rsidR="0082140E" w:rsidRDefault="0082140E" w:rsidP="00F23B3C">
            <w:pPr>
              <w:spacing w:after="0"/>
              <w:rPr>
                <w:sz w:val="20"/>
                <w:szCs w:val="20"/>
                <w:lang w:eastAsia="ja-JP"/>
              </w:rPr>
            </w:pPr>
          </w:p>
        </w:tc>
        <w:tc>
          <w:tcPr>
            <w:tcW w:w="2687" w:type="dxa"/>
          </w:tcPr>
          <w:p w14:paraId="4F52E677" w14:textId="77777777" w:rsidR="0082140E" w:rsidRDefault="0082140E" w:rsidP="00F23B3C">
            <w:pPr>
              <w:spacing w:after="0"/>
              <w:rPr>
                <w:sz w:val="20"/>
                <w:szCs w:val="20"/>
                <w:lang w:eastAsia="ja-JP"/>
              </w:rPr>
            </w:pPr>
          </w:p>
        </w:tc>
        <w:tc>
          <w:tcPr>
            <w:tcW w:w="4903" w:type="dxa"/>
          </w:tcPr>
          <w:p w14:paraId="3A603D4C" w14:textId="77777777" w:rsidR="0082140E" w:rsidRDefault="0082140E" w:rsidP="00F23B3C">
            <w:pPr>
              <w:spacing w:after="0"/>
              <w:rPr>
                <w:sz w:val="20"/>
                <w:szCs w:val="20"/>
                <w:lang w:eastAsia="ja-JP"/>
              </w:rPr>
            </w:pPr>
          </w:p>
        </w:tc>
      </w:tr>
      <w:tr w:rsidR="0082140E" w14:paraId="02BF5F43" w14:textId="77777777" w:rsidTr="00F23B3C">
        <w:tc>
          <w:tcPr>
            <w:tcW w:w="1760" w:type="dxa"/>
          </w:tcPr>
          <w:p w14:paraId="6DBC07AD" w14:textId="77777777" w:rsidR="0082140E" w:rsidRDefault="0082140E" w:rsidP="00F23B3C">
            <w:pPr>
              <w:spacing w:after="0"/>
              <w:rPr>
                <w:sz w:val="20"/>
                <w:szCs w:val="20"/>
                <w:lang w:eastAsia="ja-JP"/>
              </w:rPr>
            </w:pPr>
          </w:p>
        </w:tc>
        <w:tc>
          <w:tcPr>
            <w:tcW w:w="2687" w:type="dxa"/>
          </w:tcPr>
          <w:p w14:paraId="617F6D8F" w14:textId="77777777" w:rsidR="0082140E" w:rsidRDefault="0082140E" w:rsidP="00F23B3C">
            <w:pPr>
              <w:spacing w:after="0"/>
              <w:rPr>
                <w:sz w:val="20"/>
                <w:szCs w:val="20"/>
                <w:lang w:eastAsia="ja-JP"/>
              </w:rPr>
            </w:pPr>
          </w:p>
        </w:tc>
        <w:tc>
          <w:tcPr>
            <w:tcW w:w="4903" w:type="dxa"/>
          </w:tcPr>
          <w:p w14:paraId="709AEE93" w14:textId="77777777" w:rsidR="0082140E" w:rsidRDefault="0082140E" w:rsidP="00F23B3C">
            <w:pPr>
              <w:spacing w:after="0"/>
              <w:rPr>
                <w:sz w:val="20"/>
                <w:szCs w:val="20"/>
                <w:lang w:eastAsia="ja-JP"/>
              </w:rPr>
            </w:pP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2"/>
      </w:pPr>
      <w:r>
        <w:t>Status on</w:t>
      </w:r>
      <w:r w:rsidR="00E7452D">
        <w:t xml:space="preserve"> NCD-SSB, early identification</w:t>
      </w:r>
      <w:r>
        <w:t>, eDRX</w:t>
      </w:r>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RRM relaxation and eDRX:</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RedCap and non-RedCap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 xml:space="preserve">(16/20, 11/15) RRM relaxation can be applied to non-RedCap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eDRX,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[offline-105] eDRX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feature can be supported by non RedCap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eDRX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support is optional for the RedCap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eDRX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2"/>
      </w:pPr>
      <w:r>
        <w:t xml:space="preserve">Issues received in </w:t>
      </w:r>
      <w:r w:rsidR="00D746BD" w:rsidRPr="00D746BD">
        <w:t>[</w:t>
      </w:r>
      <w:bookmarkStart w:id="3" w:name="_Hlk87895380"/>
      <w:r w:rsidR="00D746BD" w:rsidRPr="00D746BD">
        <w:t>Post115-e][108][RedCap]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Post115-e][108][RedCap] 38.306 Running CR (Intel)</w:t>
      </w:r>
      <w:r w:rsidR="008E0623">
        <w:t>:</w:t>
      </w:r>
    </w:p>
    <w:p w14:paraId="5A227FE9" w14:textId="15965325" w:rsidR="008E0623" w:rsidRPr="000A3446" w:rsidRDefault="008E0623" w:rsidP="0017545B">
      <w:pPr>
        <w:pStyle w:val="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r w:rsidRPr="000A3446">
        <w:rPr>
          <w:b/>
          <w:bCs/>
          <w:i/>
          <w:iCs/>
        </w:rPr>
        <w:t>channelBWs-DL/UL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RedCap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RedCap’s max UE bandwidth. Second, new bandwidth below 20MHz could be added in the future (which can be as early as next quarter), and channelBWs-DL-v1590 has spare values for them. When that happens, we will need to change the text for RedCap.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r w:rsidRPr="0017545B">
        <w:rPr>
          <w:i/>
          <w:iCs/>
        </w:rPr>
        <w:t>channelBWs</w:t>
      </w:r>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RedCap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af1"/>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80D274"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80D274"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80D274"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ven though it is redundant, it is true that this field does not apply to RedCapp. We are fine either to keep or remove it.</w:t>
            </w:r>
          </w:p>
        </w:tc>
      </w:tr>
      <w:tr w:rsidR="003A0B9F" w:rsidRPr="000A3446" w14:paraId="2A179356" w14:textId="77777777" w:rsidTr="00BA0659">
        <w:tc>
          <w:tcPr>
            <w:tcW w:w="1938" w:type="dxa"/>
          </w:tcPr>
          <w:p w14:paraId="4B3A874D" w14:textId="77777777" w:rsidR="003A0B9F" w:rsidRPr="000A3446" w:rsidRDefault="003A0B9F" w:rsidP="003A0B9F">
            <w:pPr>
              <w:spacing w:after="0"/>
              <w:rPr>
                <w:sz w:val="20"/>
                <w:szCs w:val="20"/>
                <w:lang w:eastAsia="ja-JP"/>
              </w:rPr>
            </w:pPr>
          </w:p>
        </w:tc>
        <w:tc>
          <w:tcPr>
            <w:tcW w:w="1288" w:type="dxa"/>
          </w:tcPr>
          <w:p w14:paraId="1F657585" w14:textId="77777777" w:rsidR="003A0B9F" w:rsidRPr="000A3446" w:rsidRDefault="003A0B9F" w:rsidP="003A0B9F">
            <w:pPr>
              <w:spacing w:after="0"/>
              <w:rPr>
                <w:sz w:val="20"/>
                <w:szCs w:val="20"/>
                <w:lang w:eastAsia="ja-JP"/>
              </w:rPr>
            </w:pPr>
          </w:p>
        </w:tc>
        <w:tc>
          <w:tcPr>
            <w:tcW w:w="5060" w:type="dxa"/>
          </w:tcPr>
          <w:p w14:paraId="125A37B3" w14:textId="77777777" w:rsidR="003A0B9F" w:rsidRPr="000A3446" w:rsidRDefault="003A0B9F" w:rsidP="003A0B9F">
            <w:pPr>
              <w:spacing w:after="0"/>
              <w:rPr>
                <w:sz w:val="20"/>
                <w:szCs w:val="20"/>
                <w:lang w:eastAsia="zh-CN"/>
              </w:rPr>
            </w:pPr>
          </w:p>
        </w:tc>
      </w:tr>
    </w:tbl>
    <w:p w14:paraId="0EA025E5" w14:textId="5F156A20" w:rsidR="00226A89" w:rsidRPr="000A3446" w:rsidRDefault="00226A89" w:rsidP="00226A89"/>
    <w:p w14:paraId="1BAA96D2" w14:textId="00A7AA5D" w:rsidR="008E0623" w:rsidRPr="000A3446" w:rsidRDefault="008E0623" w:rsidP="008E0623">
      <w:pPr>
        <w:pStyle w:val="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For FR1 RedCap UE, the bit which indicates 20MHz shall be set to 1. For FR2 RedCap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RedCap UEs in all bands. We assume the editor’s note below it covers the case where channel BW is &lt;20/100MHz? If that is the case, we wonder if we should add restriction to the sentence above, e.g. For FR1, in bands which support channel bandwidth of 20MHz or higher, RedCap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3D593662" w:rsidR="00F76606" w:rsidRDefault="00F76606" w:rsidP="270B4DBC">
      <w:pPr>
        <w:jc w:val="both"/>
        <w:rPr>
          <w:i/>
          <w:iCs/>
        </w:rPr>
      </w:pPr>
      <w:r w:rsidRPr="270B4DBC">
        <w:rPr>
          <w:i/>
          <w:iCs/>
        </w:rPr>
        <w:t>RedCap UEs shall the maximum channel bandwidth defined for the respective band up to 20 MHz for FR1 and up to 100 Mhz for FR2. channelBWs-DL-v1590 is not applicable to RedCap UEs. For FR1 RedCap UE, the bit which indicates 20MHz shall be set to 1</w:t>
      </w:r>
      <w:r w:rsidR="00427F7A" w:rsidRPr="270B4DBC">
        <w:rPr>
          <w:i/>
          <w:iCs/>
        </w:rPr>
        <w:t xml:space="preserve"> </w:t>
      </w:r>
      <w:r w:rsidR="00427F7A" w:rsidRPr="270B4DBC">
        <w:rPr>
          <w:i/>
          <w:iCs/>
          <w:color w:val="FF0000"/>
        </w:rPr>
        <w:t>if 20MHz is supported for the respective band as defined in TS38.101-1 [2]</w:t>
      </w:r>
      <w:r w:rsidRPr="270B4DBC">
        <w:rPr>
          <w:i/>
          <w:iCs/>
        </w:rPr>
        <w:t>. For FR2 RedCap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77777777" w:rsidR="00645375" w:rsidRPr="00645375" w:rsidRDefault="00645375" w:rsidP="00645375">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56906ADB"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r w:rsidR="00FD5696" w:rsidRPr="270B4DBC">
        <w:rPr>
          <w:i/>
          <w:iCs/>
        </w:rPr>
        <w:t xml:space="preserve">RedCap UEs shall the maximum channel bandwidth defined for the respective band up to 20 MHz for FR1 and up to 100 Mhz for FR2. channelBWs-DL-v1590 is not applicable to RedCap UEs. For FR1 RedCap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RedCap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3650D5B7" w:rsidR="00FD5696" w:rsidRPr="00645375" w:rsidRDefault="00FD5696" w:rsidP="00FD5696">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af1"/>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80D274"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80D274"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 xml:space="preserve">We suggest a minor change:  “if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18795604" w:rsidR="000F5B9C" w:rsidRDefault="000F5B9C" w:rsidP="00BA0659">
            <w:pPr>
              <w:spacing w:after="0"/>
              <w:rPr>
                <w:sz w:val="20"/>
                <w:szCs w:val="20"/>
                <w:lang w:eastAsia="zh-CN"/>
              </w:rPr>
            </w:pPr>
            <w:r>
              <w:rPr>
                <w:sz w:val="20"/>
                <w:szCs w:val="20"/>
                <w:lang w:eastAsia="zh-CN"/>
              </w:rPr>
              <w:t>“</w:t>
            </w:r>
            <w:r w:rsidRPr="000F5B9C">
              <w:rPr>
                <w:sz w:val="20"/>
                <w:szCs w:val="20"/>
                <w:lang w:eastAsia="zh-CN"/>
              </w:rPr>
              <w:t xml:space="preserve">RedCap UEs shall </w:t>
            </w:r>
            <w:r w:rsidR="00510775" w:rsidRPr="00510775">
              <w:rPr>
                <w:color w:val="C00000"/>
                <w:sz w:val="20"/>
                <w:szCs w:val="20"/>
                <w:lang w:eastAsia="zh-CN"/>
              </w:rPr>
              <w:t xml:space="preserve">support </w:t>
            </w:r>
            <w:r w:rsidRPr="000F5B9C">
              <w:rPr>
                <w:sz w:val="20"/>
                <w:szCs w:val="20"/>
                <w:lang w:eastAsia="zh-CN"/>
              </w:rPr>
              <w:t>the maximum channel bandwidth defined for the respective band up to 20 MHz for FR1 and up to 100 Mhz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he intention is correct. We suggest to use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For FR1 RedCap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For FR2 RedCap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bookmarkStart w:id="4" w:name="_GoBack"/>
            <w:bookmarkEnd w:id="4"/>
          </w:p>
        </w:tc>
      </w:tr>
      <w:tr w:rsidR="00C05FD2" w14:paraId="068208E8" w14:textId="77777777" w:rsidTr="00BA0659">
        <w:tc>
          <w:tcPr>
            <w:tcW w:w="1938" w:type="dxa"/>
          </w:tcPr>
          <w:p w14:paraId="760B5F41" w14:textId="77777777" w:rsidR="00C05FD2" w:rsidRDefault="00C05FD2" w:rsidP="00C05FD2">
            <w:pPr>
              <w:spacing w:after="0"/>
              <w:rPr>
                <w:sz w:val="20"/>
                <w:szCs w:val="20"/>
                <w:lang w:eastAsia="ja-JP"/>
              </w:rPr>
            </w:pPr>
          </w:p>
        </w:tc>
        <w:tc>
          <w:tcPr>
            <w:tcW w:w="1288" w:type="dxa"/>
          </w:tcPr>
          <w:p w14:paraId="2D523EB8" w14:textId="77777777" w:rsidR="00C05FD2" w:rsidRDefault="00C05FD2" w:rsidP="00C05FD2">
            <w:pPr>
              <w:spacing w:after="0"/>
              <w:rPr>
                <w:sz w:val="20"/>
                <w:szCs w:val="20"/>
                <w:lang w:eastAsia="ja-JP"/>
              </w:rPr>
            </w:pPr>
          </w:p>
        </w:tc>
        <w:tc>
          <w:tcPr>
            <w:tcW w:w="5060" w:type="dxa"/>
          </w:tcPr>
          <w:p w14:paraId="473CE74B" w14:textId="77777777" w:rsidR="00C05FD2" w:rsidRDefault="00C05FD2" w:rsidP="00C05FD2">
            <w:pPr>
              <w:spacing w:after="0"/>
              <w:rPr>
                <w:sz w:val="20"/>
                <w:szCs w:val="20"/>
                <w:lang w:eastAsia="zh-CN"/>
              </w:rPr>
            </w:pPr>
          </w:p>
        </w:tc>
      </w:tr>
    </w:tbl>
    <w:p w14:paraId="7DF4D7B3" w14:textId="2FB041BB" w:rsidR="00D40AFC" w:rsidRDefault="00D40AFC">
      <w:pPr>
        <w:rPr>
          <w:rFonts w:ascii="Times New Roman" w:hAnsi="Times New Roman" w:cs="Times New Roman"/>
          <w:sz w:val="20"/>
          <w:szCs w:val="20"/>
        </w:rPr>
      </w:pPr>
    </w:p>
    <w:p w14:paraId="45F90805" w14:textId="7C7333EE" w:rsidR="00324FDA" w:rsidRDefault="00324FDA" w:rsidP="00324FDA">
      <w:pPr>
        <w:pStyle w:val="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af1"/>
        <w:tblW w:w="0" w:type="auto"/>
        <w:tblInd w:w="118" w:type="dxa"/>
        <w:tblLook w:val="04A0" w:firstRow="1" w:lastRow="0" w:firstColumn="1" w:lastColumn="0" w:noHBand="0" w:noVBand="1"/>
      </w:tblPr>
      <w:tblGrid>
        <w:gridCol w:w="1935"/>
        <w:gridCol w:w="1648"/>
        <w:gridCol w:w="5649"/>
      </w:tblGrid>
      <w:tr w:rsidR="009A5330" w14:paraId="200D76F0" w14:textId="5CB88F8A" w:rsidTr="0017545B">
        <w:tc>
          <w:tcPr>
            <w:tcW w:w="1938" w:type="dxa"/>
            <w:shd w:val="clear" w:color="auto" w:fill="80D274"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80D274"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80D274"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77777777" w:rsidR="009A5330" w:rsidRDefault="009A5330" w:rsidP="00BA0659">
            <w:pPr>
              <w:spacing w:after="0"/>
              <w:rPr>
                <w:sz w:val="20"/>
                <w:szCs w:val="20"/>
                <w:lang w:eastAsia="zh-CN"/>
              </w:rPr>
            </w:pPr>
          </w:p>
        </w:tc>
        <w:tc>
          <w:tcPr>
            <w:tcW w:w="1652" w:type="dxa"/>
          </w:tcPr>
          <w:p w14:paraId="5AED85D9" w14:textId="77777777" w:rsidR="009A5330" w:rsidRDefault="009A5330" w:rsidP="00BA0659">
            <w:pPr>
              <w:spacing w:after="0"/>
              <w:rPr>
                <w:lang w:eastAsia="zh-CN"/>
              </w:rPr>
            </w:pPr>
          </w:p>
        </w:tc>
        <w:tc>
          <w:tcPr>
            <w:tcW w:w="5670" w:type="dxa"/>
          </w:tcPr>
          <w:p w14:paraId="1589E224" w14:textId="77777777" w:rsidR="009A5330" w:rsidRDefault="009A5330" w:rsidP="00BA0659">
            <w:pPr>
              <w:spacing w:after="0"/>
              <w:rPr>
                <w:lang w:eastAsia="zh-CN"/>
              </w:rPr>
            </w:pPr>
          </w:p>
        </w:tc>
      </w:tr>
      <w:tr w:rsidR="009A5330" w14:paraId="016CC391" w14:textId="7577E302" w:rsidTr="0017545B">
        <w:tc>
          <w:tcPr>
            <w:tcW w:w="1938" w:type="dxa"/>
          </w:tcPr>
          <w:p w14:paraId="35579C36" w14:textId="77777777" w:rsidR="009A5330" w:rsidRDefault="009A5330" w:rsidP="00BA0659">
            <w:pPr>
              <w:spacing w:after="0"/>
              <w:rPr>
                <w:sz w:val="20"/>
                <w:szCs w:val="20"/>
              </w:rPr>
            </w:pPr>
          </w:p>
        </w:tc>
        <w:tc>
          <w:tcPr>
            <w:tcW w:w="1652" w:type="dxa"/>
          </w:tcPr>
          <w:p w14:paraId="7D109D3A" w14:textId="77777777" w:rsidR="009A5330" w:rsidRDefault="009A5330" w:rsidP="00BA0659">
            <w:pPr>
              <w:spacing w:after="0"/>
              <w:rPr>
                <w:sz w:val="20"/>
                <w:szCs w:val="20"/>
              </w:rPr>
            </w:pPr>
          </w:p>
        </w:tc>
        <w:tc>
          <w:tcPr>
            <w:tcW w:w="5670" w:type="dxa"/>
          </w:tcPr>
          <w:p w14:paraId="134CAB35" w14:textId="77777777" w:rsidR="009A5330" w:rsidRDefault="009A5330" w:rsidP="00BA0659">
            <w:pPr>
              <w:spacing w:after="0"/>
              <w:rPr>
                <w:sz w:val="20"/>
                <w:szCs w:val="20"/>
              </w:rPr>
            </w:pPr>
          </w:p>
        </w:tc>
      </w:tr>
      <w:tr w:rsidR="009A5330" w14:paraId="25C2DD78" w14:textId="7104C849" w:rsidTr="0017545B">
        <w:tc>
          <w:tcPr>
            <w:tcW w:w="1938" w:type="dxa"/>
          </w:tcPr>
          <w:p w14:paraId="44975124" w14:textId="77777777" w:rsidR="009A5330" w:rsidRDefault="009A5330" w:rsidP="00BA0659">
            <w:pPr>
              <w:spacing w:after="0"/>
              <w:rPr>
                <w:sz w:val="20"/>
                <w:szCs w:val="20"/>
              </w:rPr>
            </w:pP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5F848072" w14:textId="77777777" w:rsidR="009A5330" w:rsidRDefault="009A5330"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10"/>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5" w:name="_Ref434066290"/>
      <w:r>
        <w:rPr>
          <w:rFonts w:ascii="Times New Roman" w:hAnsi="Times New Roman"/>
        </w:rPr>
        <w:t>Reference</w:t>
      </w:r>
      <w:bookmarkEnd w:id="5"/>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Email discussion [108]Running 38.331 CR for the RedCap WI on capablities</w:t>
      </w:r>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Email discussion [108]Running 38.306 CR for the RedCap WI on capablities</w:t>
      </w:r>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1BA6A" w14:textId="77777777" w:rsidR="00944D25" w:rsidRDefault="00944D25">
      <w:pPr>
        <w:spacing w:line="240" w:lineRule="auto"/>
      </w:pPr>
      <w:r>
        <w:separator/>
      </w:r>
    </w:p>
  </w:endnote>
  <w:endnote w:type="continuationSeparator" w:id="0">
    <w:p w14:paraId="78F179EB" w14:textId="77777777" w:rsidR="00944D25" w:rsidRDefault="00944D25">
      <w:pPr>
        <w:spacing w:line="240" w:lineRule="auto"/>
      </w:pPr>
      <w:r>
        <w:continuationSeparator/>
      </w:r>
    </w:p>
  </w:endnote>
  <w:endnote w:type="continuationNotice" w:id="1">
    <w:p w14:paraId="26DA93DC" w14:textId="77777777" w:rsidR="00944D25" w:rsidRDefault="00944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BC8B3" w14:textId="77777777" w:rsidR="00944D25" w:rsidRDefault="00944D25">
      <w:pPr>
        <w:spacing w:after="0" w:line="240" w:lineRule="auto"/>
      </w:pPr>
      <w:r>
        <w:separator/>
      </w:r>
    </w:p>
  </w:footnote>
  <w:footnote w:type="continuationSeparator" w:id="0">
    <w:p w14:paraId="3586869B" w14:textId="77777777" w:rsidR="00944D25" w:rsidRDefault="00944D25">
      <w:pPr>
        <w:spacing w:after="0" w:line="240" w:lineRule="auto"/>
      </w:pPr>
      <w:r>
        <w:continuationSeparator/>
      </w:r>
    </w:p>
  </w:footnote>
  <w:footnote w:type="continuationNotice" w:id="1">
    <w:p w14:paraId="24CF90AD" w14:textId="77777777" w:rsidR="00944D25" w:rsidRDefault="00944D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H2,h2,Head2A,2,UNDERRUBRIK 1-2,DO NOT USE_h2,h21"/>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aliases w:val="H2 Char,h2 Char,Head2A Char,2 Char,UNDERRUBRIK 1-2 Char,DO NOT USE_h2 Char,h21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a"/>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a"/>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042397af-7977-45ef-9118-11c18c8623b6"/>
    <ds:schemaRef ds:uri="http://schemas.microsoft.com/office/infopath/2007/PartnerControls"/>
    <ds:schemaRef ds:uri="80530660-24fd-4391-a7a1-d653900fee43"/>
    <ds:schemaRef ds:uri="http://purl.org/dc/dcmitype/"/>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91D7A4-453D-4D47-B59C-20C9BCF9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1436</Words>
  <Characters>7486</Characters>
  <Application>Microsoft Office Word</Application>
  <DocSecurity>0</DocSecurity>
  <Lines>62</Lines>
  <Paragraphs>17</Paragraphs>
  <ScaleCrop>false</ScaleCrop>
  <Company>Microsoft</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Huawei-Yulong</cp:lastModifiedBy>
  <cp:revision>5</cp:revision>
  <dcterms:created xsi:type="dcterms:W3CDTF">2021-11-17T08:37:00Z</dcterms:created>
  <dcterms:modified xsi:type="dcterms:W3CDTF">2021-11-17T08:39:00Z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