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1"/>
      </w:pPr>
      <w:r>
        <w:t>1</w:t>
      </w:r>
      <w:r>
        <w:tab/>
        <w:t>Introduction</w:t>
      </w:r>
    </w:p>
    <w:p w14:paraId="6B6D82B8" w14:textId="77777777" w:rsidR="0045661D" w:rsidRDefault="00AE0EF7">
      <w:pPr>
        <w:pStyle w:val="a6"/>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a6"/>
      </w:pPr>
    </w:p>
    <w:p w14:paraId="6B6D82BE" w14:textId="77777777" w:rsidR="0045661D" w:rsidRDefault="00AE0EF7">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a6"/>
        <w:rPr>
          <w:lang w:val="sv-SE"/>
        </w:rPr>
      </w:pPr>
    </w:p>
    <w:p w14:paraId="6B6D82EA" w14:textId="77777777" w:rsidR="0045661D" w:rsidRDefault="00AE0EF7">
      <w:pPr>
        <w:pStyle w:val="1"/>
      </w:pPr>
      <w:bookmarkStart w:id="0" w:name="_Ref178064866"/>
      <w:r>
        <w:lastRenderedPageBreak/>
        <w:t>2</w:t>
      </w:r>
      <w:r>
        <w:tab/>
      </w:r>
      <w:bookmarkEnd w:id="0"/>
      <w:r>
        <w:t>Discussion</w:t>
      </w:r>
    </w:p>
    <w:p w14:paraId="6B6D82EB" w14:textId="77777777" w:rsidR="0045661D" w:rsidRDefault="00AE0EF7">
      <w:pPr>
        <w:pStyle w:val="21"/>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QoE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w:t>
      </w:r>
      <w:proofErr w:type="spellStart"/>
      <w:r>
        <w:rPr>
          <w:rFonts w:ascii="Arial" w:hAnsi="Arial" w:cs="Arial"/>
          <w:i/>
        </w:rPr>
        <w:t>ongoing</w:t>
      </w:r>
      <w:proofErr w:type="spellEnd"/>
      <w:r>
        <w:rPr>
          <w:rFonts w:ascii="Arial" w:hAnsi="Arial" w:cs="Arial"/>
          <w:i/>
        </w:rPr>
        <w:t xml:space="preserve"> session shall be unaffected by any QoE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such as geographical filtering, which shall only be done when the session starts. Thus changes to the QoE configuration will only affect sessions started after these configuration changes have been received.”</w:t>
      </w:r>
    </w:p>
    <w:p w14:paraId="6B6D82EE" w14:textId="77777777" w:rsidR="0045661D" w:rsidRDefault="00AE0EF7">
      <w:pPr>
        <w:pStyle w:val="a0"/>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whether or not ongoing session is affected in case of release of QoE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the logging and reporting criteria for ongoing session should be affected when the client receives a release of the QoE configuration."</w:t>
            </w:r>
            <w:r>
              <w:rPr>
                <w:rFonts w:eastAsia="Malgun Gothic"/>
                <w:lang w:eastAsia="ko-KR"/>
              </w:rPr>
              <w:t>. However, there were some companies who have different understanding (i.e., ongoing session is NOT affected in case of release of QoE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QoE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QoE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QoE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e.g. not activated QoE session, QoE session with paused QoE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af3"/>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af3"/>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 xml:space="preserve">for an </w:t>
                  </w:r>
                  <w:proofErr w:type="spellStart"/>
                  <w:r w:rsidRPr="00A34F97">
                    <w:rPr>
                      <w:rFonts w:ascii="Arial" w:hAnsi="Arial" w:cs="Arial"/>
                      <w:b/>
                      <w:bCs/>
                      <w:i/>
                      <w:iCs/>
                      <w:lang w:eastAsia="zh-CN"/>
                    </w:rPr>
                    <w:t>ongoing</w:t>
                  </w:r>
                  <w:proofErr w:type="spellEnd"/>
                  <w:r w:rsidRPr="00A34F97">
                    <w:rPr>
                      <w:rFonts w:ascii="Arial" w:hAnsi="Arial" w:cs="Arial"/>
                      <w:b/>
                      <w:bCs/>
                      <w:i/>
                      <w:iCs/>
                      <w:lang w:eastAsia="zh-CN"/>
                    </w:rPr>
                    <w:t xml:space="preserve">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Thus changes to the QoE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it is clear that this requirement should be met and the gNB should not release an </w:t>
            </w:r>
            <w:proofErr w:type="spellStart"/>
            <w:r>
              <w:t>ongoing</w:t>
            </w:r>
            <w:proofErr w:type="spellEnd"/>
            <w:r>
              <w:t xml:space="preserve"> QoE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QoE configuration any time and SA4 just confirms this. It does not mean that the gNB should release </w:t>
            </w:r>
            <w:proofErr w:type="spellStart"/>
            <w:r>
              <w:t>ongoing</w:t>
            </w:r>
            <w:proofErr w:type="spellEnd"/>
            <w:r>
              <w:t xml:space="preserve"> QoE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afb"/>
              <w:numPr>
                <w:ilvl w:val="0"/>
                <w:numId w:val="14"/>
              </w:numPr>
              <w:spacing w:after="120" w:line="240" w:lineRule="auto"/>
              <w:rPr>
                <w:lang w:val="en-US"/>
              </w:rPr>
            </w:pPr>
            <w:r>
              <w:rPr>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ED6B6A" w:rsidRDefault="00FF4F38" w:rsidP="00FF4F38">
            <w:pPr>
              <w:pStyle w:val="afb"/>
              <w:numPr>
                <w:ilvl w:val="0"/>
                <w:numId w:val="14"/>
              </w:numPr>
              <w:spacing w:after="120" w:line="240" w:lineRule="auto"/>
              <w:rPr>
                <w:lang w:val="en-US"/>
              </w:rPr>
            </w:pPr>
            <w:r>
              <w:rPr>
                <w:lang w:val="en-US"/>
              </w:rPr>
              <w:t xml:space="preserve">If the gNB sends release for QoE configuration, the QoE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confirm bullet 1 above (bullet 2 seems clear). We should just focus on </w:t>
            </w:r>
            <w:r>
              <w:lastRenderedPageBreak/>
              <w:t>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QoE measurement when the UE moves out of the Area Scope? </w:t>
            </w:r>
          </w:p>
          <w:p w14:paraId="38680B6F" w14:textId="77777777" w:rsidR="00142520" w:rsidRDefault="00142520" w:rsidP="00142520">
            <w:pPr>
              <w:spacing w:after="120"/>
              <w:rPr>
                <w:rFonts w:ascii="Arial" w:hAnsi="Arial" w:cs="Arial"/>
                <w:i/>
              </w:rPr>
            </w:pPr>
            <w: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We also think we can ask the difference/relation between the area that the gNB has and the area defined inside the container.</w:t>
            </w:r>
          </w:p>
        </w:tc>
      </w:tr>
      <w:tr w:rsidR="00FF4F38" w14:paraId="6B6D8322" w14:textId="77777777">
        <w:tc>
          <w:tcPr>
            <w:tcW w:w="1838" w:type="dxa"/>
          </w:tcPr>
          <w:p w14:paraId="6B6D8320" w14:textId="327D14F6" w:rsidR="00FF4F38" w:rsidRPr="002D6F5F" w:rsidRDefault="002D6F5F" w:rsidP="00FF4F38">
            <w:pPr>
              <w:spacing w:after="120"/>
              <w:rPr>
                <w:rFonts w:eastAsia="等线" w:hint="eastAsia"/>
                <w:lang w:eastAsia="zh-CN"/>
              </w:rPr>
            </w:pPr>
            <w:r>
              <w:rPr>
                <w:rFonts w:eastAsia="等线" w:hint="eastAsia"/>
                <w:lang w:eastAsia="zh-CN"/>
              </w:rPr>
              <w:t>CATT</w:t>
            </w:r>
          </w:p>
        </w:tc>
        <w:tc>
          <w:tcPr>
            <w:tcW w:w="6095" w:type="dxa"/>
          </w:tcPr>
          <w:p w14:paraId="3FDCACE5" w14:textId="15F2EFF6" w:rsidR="002D6F5F" w:rsidRDefault="002D6F5F" w:rsidP="002D6F5F">
            <w:pPr>
              <w:rPr>
                <w:rFonts w:eastAsia="等线"/>
                <w:lang w:eastAsia="zh-CN"/>
              </w:rPr>
            </w:pPr>
            <w:r>
              <w:rPr>
                <w:rFonts w:eastAsia="等线"/>
                <w:lang w:eastAsia="zh-CN"/>
              </w:rPr>
              <w:t>A</w:t>
            </w:r>
            <w:r>
              <w:rPr>
                <w:rFonts w:eastAsia="等线" w:hint="eastAsia"/>
                <w:lang w:eastAsia="zh-CN"/>
              </w:rPr>
              <w:t>bout the</w:t>
            </w:r>
            <w:r>
              <w:rPr>
                <w:rFonts w:eastAsia="等线"/>
                <w:lang w:eastAsia="zh-CN"/>
              </w:rPr>
              <w:t xml:space="preserve"> area scope controlled in the container or out the container, in 26.247</w:t>
            </w:r>
            <w:r w:rsidR="00DC1395">
              <w:rPr>
                <w:rFonts w:eastAsia="等线"/>
                <w:lang w:eastAsia="zh-CN"/>
              </w:rPr>
              <w:t xml:space="preserve"> and 26.114</w:t>
            </w:r>
            <w:r>
              <w:rPr>
                <w:rFonts w:eastAsia="等线"/>
                <w:lang w:eastAsia="zh-CN"/>
              </w:rPr>
              <w:t xml:space="preserve">, SA4 mentioned as below: </w:t>
            </w:r>
          </w:p>
          <w:p w14:paraId="796C03DA" w14:textId="0FE199D9" w:rsidR="002D6F5F" w:rsidRPr="002D6F5F" w:rsidRDefault="002D6F5F" w:rsidP="002D6F5F">
            <w:pPr>
              <w:rPr>
                <w:i/>
              </w:rPr>
            </w:pPr>
            <w:r>
              <w:rPr>
                <w:rFonts w:eastAsia="等线" w:hint="eastAsia"/>
                <w:lang w:eastAsia="zh-CN"/>
              </w:rPr>
              <w:t xml:space="preserve"> </w:t>
            </w:r>
            <w:r w:rsidRPr="002D6F5F">
              <w:rPr>
                <w:i/>
              </w:rPr>
              <w:t>Note that if geographical filtering is handled on the network side (i.e. QoE reporting is turned on/</w:t>
            </w:r>
            <w:proofErr w:type="gramStart"/>
            <w:r w:rsidRPr="002D6F5F">
              <w:rPr>
                <w:i/>
              </w:rPr>
              <w:t>off  by</w:t>
            </w:r>
            <w:proofErr w:type="gramEnd"/>
            <w:r w:rsidRPr="002D6F5F">
              <w:rPr>
                <w:i/>
              </w:rPr>
              <w:t xml:space="preserve"> the network depending on the UE location), no </w:t>
            </w:r>
            <w:proofErr w:type="spellStart"/>
            <w:r w:rsidRPr="002D6F5F">
              <w:rPr>
                <w:i/>
              </w:rPr>
              <w:t>LocationFilter</w:t>
            </w:r>
            <w:proofErr w:type="spellEnd"/>
            <w:r w:rsidRPr="002D6F5F">
              <w:rPr>
                <w:i/>
              </w:rPr>
              <w:t xml:space="preserve"> should be specified in the QoE Configuration, as this would mean two consecutive </w:t>
            </w:r>
            <w:proofErr w:type="spellStart"/>
            <w:r w:rsidRPr="002D6F5F">
              <w:rPr>
                <w:i/>
              </w:rPr>
              <w:t>filterings</w:t>
            </w:r>
            <w:proofErr w:type="spellEnd"/>
            <w:r w:rsidRPr="002D6F5F">
              <w:rPr>
                <w:i/>
              </w:rPr>
              <w:t>.</w:t>
            </w:r>
          </w:p>
          <w:p w14:paraId="7E99EA1F" w14:textId="77777777" w:rsidR="00FF4F38" w:rsidRDefault="002D6F5F" w:rsidP="00FF4F38">
            <w:pPr>
              <w:spacing w:after="120"/>
              <w:rPr>
                <w:rFonts w:eastAsia="等线"/>
                <w:lang w:val="en-US" w:eastAsia="zh-CN"/>
              </w:rPr>
            </w:pPr>
            <w:r>
              <w:rPr>
                <w:rFonts w:eastAsia="等线"/>
                <w:lang w:val="en-US" w:eastAsia="zh-CN"/>
              </w:rPr>
              <w:t xml:space="preserve">From the above quote, the area scope in container will be omitted if the NW handles the area scope. So we don’t need </w:t>
            </w:r>
            <w:r w:rsidR="00DC1395">
              <w:rPr>
                <w:rFonts w:eastAsia="等线"/>
                <w:lang w:val="en-US" w:eastAsia="zh-CN"/>
              </w:rPr>
              <w:t xml:space="preserve">to </w:t>
            </w:r>
            <w:r>
              <w:rPr>
                <w:rFonts w:eastAsia="等线"/>
                <w:lang w:val="en-US" w:eastAsia="zh-CN"/>
              </w:rPr>
              <w:t>ask question related to this issue.</w:t>
            </w:r>
          </w:p>
          <w:p w14:paraId="0E395454" w14:textId="542346CC" w:rsidR="00DC1395" w:rsidRDefault="00DC1395" w:rsidP="00FF4F38">
            <w:pPr>
              <w:spacing w:after="120"/>
              <w:rPr>
                <w:rFonts w:eastAsia="等线"/>
                <w:lang w:val="en-US" w:eastAsia="zh-CN"/>
              </w:rPr>
            </w:pPr>
            <w:r>
              <w:rPr>
                <w:rFonts w:eastAsia="等线"/>
                <w:lang w:val="en-US" w:eastAsia="zh-CN"/>
              </w:rPr>
              <w:t xml:space="preserve">But one issue </w:t>
            </w:r>
            <w:r w:rsidR="00587EDE">
              <w:rPr>
                <w:rFonts w:eastAsia="等线"/>
                <w:lang w:val="en-US" w:eastAsia="zh-CN"/>
              </w:rPr>
              <w:t xml:space="preserve">like as Huawei said as below: </w:t>
            </w:r>
          </w:p>
          <w:p w14:paraId="62414716" w14:textId="63AE5D04" w:rsidR="00587EDE" w:rsidRPr="00587EDE" w:rsidRDefault="00587EDE" w:rsidP="00587EDE">
            <w:pPr>
              <w:spacing w:after="120"/>
              <w:rPr>
                <w:rFonts w:eastAsia="等线"/>
                <w:i/>
                <w:lang w:val="en-US" w:eastAsia="zh-CN"/>
              </w:rPr>
            </w:pPr>
            <w:r w:rsidRPr="00587EDE">
              <w:rPr>
                <w:rFonts w:eastAsia="等线"/>
                <w:i/>
                <w:lang w:val="en-US" w:eastAsia="zh-CN"/>
              </w:rPr>
              <w:t>1.</w:t>
            </w:r>
            <w:r w:rsidRPr="00587EDE">
              <w:rPr>
                <w:rFonts w:eastAsia="等线"/>
                <w:i/>
                <w:lang w:val="en-US" w:eastAsia="zh-CN"/>
              </w:rPr>
              <w:t xml:space="preserve">In normal circumstances, gNB should not release the QoE configuration for ongoing QoE session, no matter whether UE is moving out of area scope or not (see reply to Q1 from SA4). </w:t>
            </w:r>
          </w:p>
          <w:p w14:paraId="5FF44749" w14:textId="685FF4B2" w:rsidR="00587EDE" w:rsidRDefault="00587EDE" w:rsidP="00587EDE">
            <w:pPr>
              <w:spacing w:after="120"/>
              <w:rPr>
                <w:rFonts w:eastAsia="等线"/>
                <w:i/>
                <w:lang w:val="en-US" w:eastAsia="zh-CN"/>
              </w:rPr>
            </w:pPr>
            <w:proofErr w:type="gramStart"/>
            <w:r w:rsidRPr="00587EDE">
              <w:rPr>
                <w:rFonts w:eastAsia="等线"/>
                <w:i/>
                <w:lang w:val="en-US" w:eastAsia="zh-CN"/>
              </w:rPr>
              <w:t>2.If</w:t>
            </w:r>
            <w:proofErr w:type="gramEnd"/>
            <w:r w:rsidRPr="00587EDE">
              <w:rPr>
                <w:rFonts w:eastAsia="等线"/>
                <w:i/>
                <w:lang w:val="en-US" w:eastAsia="zh-CN"/>
              </w:rPr>
              <w:t xml:space="preserve"> the gNB sends release for QoE configuration, the QoE configuration is released by the UE, no matter whether it is ongoing or not (see reply to Q2 from SA4).</w:t>
            </w:r>
          </w:p>
          <w:p w14:paraId="056CC18C" w14:textId="77777777" w:rsidR="00587EDE" w:rsidRDefault="00587EDE" w:rsidP="00587EDE">
            <w:pPr>
              <w:spacing w:after="120"/>
              <w:rPr>
                <w:rFonts w:eastAsia="等线" w:hint="eastAsia"/>
                <w:lang w:val="en-US" w:eastAsia="zh-CN"/>
              </w:rPr>
            </w:pPr>
            <w:r w:rsidRPr="00587EDE">
              <w:rPr>
                <w:rFonts w:eastAsia="等线"/>
                <w:lang w:val="en-US" w:eastAsia="zh-CN"/>
              </w:rPr>
              <w:t xml:space="preserve">These two </w:t>
            </w:r>
            <w:r>
              <w:rPr>
                <w:rFonts w:eastAsia="等线"/>
                <w:lang w:val="en-US" w:eastAsia="zh-CN"/>
              </w:rPr>
              <w:t>behaviors may be conflict</w:t>
            </w:r>
            <w:r>
              <w:rPr>
                <w:rFonts w:eastAsia="等线" w:hint="eastAsia"/>
                <w:lang w:val="en-US" w:eastAsia="zh-CN"/>
              </w:rPr>
              <w:t>ing</w:t>
            </w:r>
            <w:r>
              <w:rPr>
                <w:rFonts w:eastAsia="等线"/>
                <w:lang w:val="en-US" w:eastAsia="zh-CN"/>
              </w:rPr>
              <w:t xml:space="preserve"> when we use the NW</w:t>
            </w:r>
            <w:r>
              <w:rPr>
                <w:rFonts w:eastAsia="等线" w:hint="eastAsia"/>
                <w:lang w:val="en-US" w:eastAsia="zh-CN"/>
              </w:rPr>
              <w:t xml:space="preserve"> handle </w:t>
            </w:r>
            <w:r>
              <w:rPr>
                <w:rFonts w:eastAsia="等线"/>
                <w:lang w:val="en-US" w:eastAsia="zh-CN"/>
              </w:rPr>
              <w:t>the</w:t>
            </w:r>
            <w:r>
              <w:rPr>
                <w:rFonts w:eastAsia="等线" w:hint="eastAsia"/>
                <w:lang w:val="en-US" w:eastAsia="zh-CN"/>
              </w:rPr>
              <w:t xml:space="preserve"> area scope solution. </w:t>
            </w:r>
            <w:proofErr w:type="gramStart"/>
            <w:r>
              <w:rPr>
                <w:rFonts w:eastAsia="等线" w:hint="eastAsia"/>
                <w:lang w:val="en-US" w:eastAsia="zh-CN"/>
              </w:rPr>
              <w:t>i.e</w:t>
            </w:r>
            <w:proofErr w:type="gramEnd"/>
            <w:r>
              <w:rPr>
                <w:rFonts w:eastAsia="等线" w:hint="eastAsia"/>
                <w:lang w:val="en-US" w:eastAsia="zh-CN"/>
              </w:rPr>
              <w:t xml:space="preserve">. when UE moves out the area scope, the NW will send release to UE. </w:t>
            </w:r>
            <w:r>
              <w:rPr>
                <w:rFonts w:eastAsia="等线"/>
                <w:lang w:val="en-US" w:eastAsia="zh-CN"/>
              </w:rPr>
              <w:t>I</w:t>
            </w:r>
            <w:r>
              <w:rPr>
                <w:rFonts w:eastAsia="等线" w:hint="eastAsia"/>
                <w:lang w:val="en-US" w:eastAsia="zh-CN"/>
              </w:rPr>
              <w:t xml:space="preserve">f we follow </w:t>
            </w:r>
            <w:r>
              <w:rPr>
                <w:rFonts w:eastAsia="等线"/>
                <w:lang w:val="en-US" w:eastAsia="zh-CN"/>
              </w:rPr>
              <w:t>the</w:t>
            </w:r>
            <w:r>
              <w:rPr>
                <w:rFonts w:eastAsia="等线" w:hint="eastAsia"/>
                <w:lang w:val="en-US" w:eastAsia="zh-CN"/>
              </w:rPr>
              <w:t xml:space="preserve"> item2, </w:t>
            </w:r>
            <w:r>
              <w:rPr>
                <w:rFonts w:eastAsia="等线"/>
                <w:lang w:val="en-US" w:eastAsia="zh-CN"/>
              </w:rPr>
              <w:t>the</w:t>
            </w:r>
            <w:r>
              <w:rPr>
                <w:rFonts w:eastAsia="等线" w:hint="eastAsia"/>
                <w:lang w:val="en-US" w:eastAsia="zh-CN"/>
              </w:rPr>
              <w:t xml:space="preserve"> ongoing session will be released but </w:t>
            </w:r>
            <w:r>
              <w:rPr>
                <w:rFonts w:eastAsia="等线"/>
                <w:lang w:val="en-US" w:eastAsia="zh-CN"/>
              </w:rPr>
              <w:t>the</w:t>
            </w:r>
            <w:r>
              <w:rPr>
                <w:rFonts w:eastAsia="等线" w:hint="eastAsia"/>
                <w:lang w:val="en-US" w:eastAsia="zh-CN"/>
              </w:rPr>
              <w:t xml:space="preserve"> </w:t>
            </w:r>
            <w:r>
              <w:rPr>
                <w:rFonts w:eastAsia="等线"/>
                <w:lang w:val="en-US" w:eastAsia="zh-CN"/>
              </w:rPr>
              <w:t>behavior</w:t>
            </w:r>
            <w:r>
              <w:rPr>
                <w:rFonts w:eastAsia="等线" w:hint="eastAsia"/>
                <w:lang w:val="en-US" w:eastAsia="zh-CN"/>
              </w:rPr>
              <w:t xml:space="preserve"> does not </w:t>
            </w:r>
            <w:r>
              <w:rPr>
                <w:rFonts w:eastAsia="等线"/>
                <w:lang w:val="en-US" w:eastAsia="zh-CN"/>
              </w:rPr>
              <w:t>obey</w:t>
            </w:r>
            <w:r>
              <w:rPr>
                <w:rFonts w:eastAsia="等线" w:hint="eastAsia"/>
                <w:lang w:val="en-US" w:eastAsia="zh-CN"/>
              </w:rPr>
              <w:t xml:space="preserve"> the item1.</w:t>
            </w:r>
          </w:p>
          <w:p w14:paraId="443B42C8" w14:textId="0146DE6E" w:rsidR="00587EDE" w:rsidRPr="00587EDE" w:rsidRDefault="00587EDE" w:rsidP="00587EDE">
            <w:pPr>
              <w:spacing w:after="120"/>
              <w:rPr>
                <w:rFonts w:eastAsia="等线" w:hint="eastAsia"/>
                <w:lang w:val="en-US" w:eastAsia="zh-CN"/>
              </w:rPr>
            </w:pPr>
            <w:r>
              <w:rPr>
                <w:rFonts w:eastAsia="等线" w:hint="eastAsia"/>
                <w:lang w:val="en-US" w:eastAsia="zh-CN"/>
              </w:rPr>
              <w:t xml:space="preserve">So we may have two approach, one is RAN2 to specify the different release type. Another approach is </w:t>
            </w:r>
            <w:r w:rsidR="00F34AB3">
              <w:rPr>
                <w:rFonts w:eastAsia="等线" w:hint="eastAsia"/>
                <w:lang w:val="en-US" w:eastAsia="zh-CN"/>
              </w:rPr>
              <w:t xml:space="preserve">that we state our solution about </w:t>
            </w:r>
            <w:proofErr w:type="spellStart"/>
            <w:r w:rsidR="00F34AB3">
              <w:rPr>
                <w:rFonts w:eastAsia="等线" w:hint="eastAsia"/>
                <w:lang w:val="en-US" w:eastAsia="zh-CN"/>
              </w:rPr>
              <w:t>he</w:t>
            </w:r>
            <w:proofErr w:type="spellEnd"/>
            <w:r w:rsidR="00F34AB3">
              <w:rPr>
                <w:rFonts w:eastAsia="等线" w:hint="eastAsia"/>
                <w:lang w:val="en-US" w:eastAsia="zh-CN"/>
              </w:rPr>
              <w:t xml:space="preserve"> area scope and </w:t>
            </w:r>
            <w:r>
              <w:rPr>
                <w:rFonts w:eastAsia="等线" w:hint="eastAsia"/>
                <w:lang w:val="en-US" w:eastAsia="zh-CN"/>
              </w:rPr>
              <w:t>ch</w:t>
            </w:r>
            <w:r w:rsidR="00F34AB3">
              <w:rPr>
                <w:rFonts w:eastAsia="等线" w:hint="eastAsia"/>
                <w:lang w:val="en-US" w:eastAsia="zh-CN"/>
              </w:rPr>
              <w:t>eck</w:t>
            </w:r>
            <w:r>
              <w:rPr>
                <w:rFonts w:eastAsia="等线" w:hint="eastAsia"/>
                <w:lang w:val="en-US" w:eastAsia="zh-CN"/>
              </w:rPr>
              <w:t xml:space="preserve"> </w:t>
            </w:r>
            <w:r w:rsidR="00CA5BD6">
              <w:rPr>
                <w:rFonts w:eastAsia="等线" w:hint="eastAsia"/>
                <w:lang w:val="en-US" w:eastAsia="zh-CN"/>
              </w:rPr>
              <w:t xml:space="preserve">how to handle this issue from their </w:t>
            </w:r>
            <w:r w:rsidR="00CA5BD6">
              <w:rPr>
                <w:rFonts w:eastAsia="等线"/>
                <w:lang w:val="en-US" w:eastAsia="zh-CN"/>
              </w:rPr>
              <w:t>specification</w:t>
            </w:r>
            <w:r w:rsidR="00F34AB3">
              <w:rPr>
                <w:rFonts w:eastAsia="等线" w:hint="eastAsia"/>
                <w:lang w:val="en-US" w:eastAsia="zh-CN"/>
              </w:rPr>
              <w:t xml:space="preserve"> </w:t>
            </w:r>
            <w:r w:rsidR="00F34AB3">
              <w:rPr>
                <w:rFonts w:eastAsia="等线" w:hint="eastAsia"/>
                <w:lang w:val="en-US" w:eastAsia="zh-CN"/>
              </w:rPr>
              <w:t>with SA4</w:t>
            </w:r>
            <w:bookmarkStart w:id="1" w:name="_GoBack"/>
            <w:bookmarkEnd w:id="1"/>
          </w:p>
          <w:p w14:paraId="6B6D8321" w14:textId="28E30C64" w:rsidR="00587EDE" w:rsidRPr="002D6F5F" w:rsidRDefault="00587EDE" w:rsidP="00FF4F38">
            <w:pPr>
              <w:spacing w:after="120"/>
              <w:rPr>
                <w:rFonts w:eastAsia="等线"/>
                <w:lang w:val="en-US" w:eastAsia="zh-CN"/>
              </w:rPr>
            </w:pPr>
          </w:p>
        </w:tc>
      </w:tr>
      <w:tr w:rsidR="00FF4F38" w14:paraId="6B6D8325" w14:textId="77777777">
        <w:tc>
          <w:tcPr>
            <w:tcW w:w="1838" w:type="dxa"/>
          </w:tcPr>
          <w:p w14:paraId="6B6D8323" w14:textId="3849DE5E"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a0"/>
        <w:numPr>
          <w:ilvl w:val="0"/>
          <w:numId w:val="0"/>
        </w:numPr>
        <w:rPr>
          <w:lang w:val="en-US"/>
        </w:rPr>
      </w:pPr>
    </w:p>
    <w:p w14:paraId="7D4D4E96" w14:textId="4F354E15" w:rsidR="00BA6DE1" w:rsidRDefault="00BA6DE1" w:rsidP="00BA6DE1">
      <w:pPr>
        <w:pStyle w:val="a0"/>
        <w:numPr>
          <w:ilvl w:val="0"/>
          <w:numId w:val="0"/>
        </w:numPr>
      </w:pPr>
      <w:r>
        <w:t xml:space="preserve">Summary: </w:t>
      </w:r>
      <w:r w:rsidR="0087260F">
        <w:t>Several questions were listed above, so it seems to be relevant to send an LS. An LS is drafted separately.</w:t>
      </w:r>
    </w:p>
    <w:p w14:paraId="4B015817" w14:textId="52871C86" w:rsidR="00F35B61" w:rsidRDefault="00F35B61" w:rsidP="00BA6DE1">
      <w:pPr>
        <w:pStyle w:val="a0"/>
        <w:numPr>
          <w:ilvl w:val="0"/>
          <w:numId w:val="0"/>
        </w:numPr>
      </w:pPr>
    </w:p>
    <w:p w14:paraId="43AD3BB6" w14:textId="357BF4A6" w:rsidR="00F35B61" w:rsidRDefault="00F35B61" w:rsidP="00F35B61">
      <w:pPr>
        <w:pStyle w:val="a0"/>
        <w:numPr>
          <w:ilvl w:val="0"/>
          <w:numId w:val="0"/>
        </w:numPr>
      </w:pPr>
      <w:r>
        <w:t>There is also a second part of the e-mail disc</w:t>
      </w:r>
      <w:r w:rsidR="00A66BE0">
        <w:t xml:space="preserve">ussion related to </w:t>
      </w:r>
      <w:r>
        <w:t>whether to fulfil the SA4 requirement and how to converge on mobility in general. Please provide feedback related to this part in question 2.</w:t>
      </w:r>
    </w:p>
    <w:p w14:paraId="5D509E0A" w14:textId="163D37FC" w:rsidR="00F35B61" w:rsidRDefault="00F35B61" w:rsidP="00F35B61">
      <w:pPr>
        <w:pStyle w:val="a0"/>
        <w:numPr>
          <w:ilvl w:val="0"/>
          <w:numId w:val="0"/>
        </w:numPr>
      </w:pPr>
      <w: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35B61" w14:paraId="6F942671" w14:textId="77777777" w:rsidTr="00BF7B82">
        <w:tc>
          <w:tcPr>
            <w:tcW w:w="1838" w:type="dxa"/>
            <w:shd w:val="clear" w:color="auto" w:fill="D9D9D9"/>
          </w:tcPr>
          <w:p w14:paraId="78CBCF94" w14:textId="77777777" w:rsidR="00F35B61" w:rsidRDefault="00F35B61" w:rsidP="00BF7B82">
            <w:pPr>
              <w:spacing w:after="120"/>
              <w:rPr>
                <w:b/>
                <w:bCs/>
              </w:rPr>
            </w:pPr>
            <w:r>
              <w:rPr>
                <w:b/>
                <w:bCs/>
              </w:rPr>
              <w:t>Company</w:t>
            </w:r>
          </w:p>
        </w:tc>
        <w:tc>
          <w:tcPr>
            <w:tcW w:w="6095" w:type="dxa"/>
            <w:shd w:val="clear" w:color="auto" w:fill="D9D9D9"/>
          </w:tcPr>
          <w:p w14:paraId="3DE75AD3" w14:textId="77777777" w:rsidR="00F35B61" w:rsidRDefault="00F35B61" w:rsidP="00BF7B82">
            <w:pPr>
              <w:spacing w:after="120"/>
              <w:rPr>
                <w:b/>
                <w:bCs/>
              </w:rPr>
            </w:pPr>
            <w:r>
              <w:rPr>
                <w:b/>
                <w:bCs/>
              </w:rPr>
              <w:t>Answer</w:t>
            </w:r>
          </w:p>
        </w:tc>
      </w:tr>
      <w:tr w:rsidR="00F35B61" w14:paraId="0105951E" w14:textId="77777777" w:rsidTr="00BF7B82">
        <w:tc>
          <w:tcPr>
            <w:tcW w:w="1838" w:type="dxa"/>
          </w:tcPr>
          <w:p w14:paraId="2193BC6E" w14:textId="09A2FA4A" w:rsidR="00F35B61" w:rsidRDefault="00A66BE0" w:rsidP="00BF7B82">
            <w:pPr>
              <w:spacing w:after="120"/>
            </w:pPr>
            <w:r>
              <w:t>Ericsson</w:t>
            </w:r>
          </w:p>
        </w:tc>
        <w:tc>
          <w:tcPr>
            <w:tcW w:w="6095" w:type="dxa"/>
          </w:tcPr>
          <w:p w14:paraId="14BDE16E" w14:textId="77777777" w:rsidR="00A66BE0" w:rsidRDefault="00A66BE0" w:rsidP="00BF7B82">
            <w:pPr>
              <w:spacing w:after="120"/>
            </w:pPr>
            <w:r>
              <w:t>We think we can discuss different solutions related to the SA4 requirements and the pros and cons of the different solutions. When the reply is received, we can decide what to do.</w:t>
            </w:r>
          </w:p>
          <w:p w14:paraId="3BB099B5" w14:textId="131F6B04" w:rsidR="00A66BE0" w:rsidRDefault="00A66BE0" w:rsidP="00BF7B82">
            <w:pPr>
              <w:spacing w:after="120"/>
            </w:pPr>
            <w:r>
              <w:t xml:space="preserve">We would like to discuss different options related to </w:t>
            </w:r>
            <w:proofErr w:type="spellStart"/>
            <w:r>
              <w:t>fullConfig</w:t>
            </w:r>
            <w:proofErr w:type="spellEnd"/>
            <w:r>
              <w:t xml:space="preserve"> from a technical point of view.</w:t>
            </w:r>
          </w:p>
        </w:tc>
      </w:tr>
      <w:tr w:rsidR="00F35B61" w14:paraId="78E711AC" w14:textId="77777777" w:rsidTr="00BF7B82">
        <w:tc>
          <w:tcPr>
            <w:tcW w:w="1838" w:type="dxa"/>
          </w:tcPr>
          <w:p w14:paraId="4E3643A4" w14:textId="64D74C16" w:rsidR="00F35B61" w:rsidRDefault="00250089" w:rsidP="00BF7B82">
            <w:pPr>
              <w:spacing w:after="120"/>
              <w:rPr>
                <w:rFonts w:eastAsia="Malgun Gothic"/>
                <w:lang w:eastAsia="ko-KR"/>
              </w:rPr>
            </w:pPr>
            <w:r>
              <w:rPr>
                <w:rFonts w:eastAsia="Malgun Gothic"/>
                <w:lang w:eastAsia="ko-KR"/>
              </w:rPr>
              <w:t>Intel</w:t>
            </w:r>
          </w:p>
        </w:tc>
        <w:tc>
          <w:tcPr>
            <w:tcW w:w="6095" w:type="dxa"/>
          </w:tcPr>
          <w:p w14:paraId="12CDB6B6" w14:textId="756C574E" w:rsidR="00F35B61" w:rsidRDefault="00250089" w:rsidP="00BF7B82">
            <w:pPr>
              <w:spacing w:after="120"/>
              <w:rPr>
                <w:rFonts w:eastAsia="Malgun Gothic"/>
                <w:lang w:eastAsia="ko-KR"/>
              </w:rPr>
            </w:pPr>
            <w:r>
              <w:rPr>
                <w:rFonts w:eastAsia="Malgun Gothic"/>
                <w:lang w:eastAsia="ko-KR"/>
              </w:rPr>
              <w:t xml:space="preserve">We suggest </w:t>
            </w:r>
            <w:r w:rsidR="00762429">
              <w:rPr>
                <w:rFonts w:eastAsia="Malgun Gothic"/>
                <w:lang w:eastAsia="ko-KR"/>
              </w:rPr>
              <w:t>discussing</w:t>
            </w:r>
            <w:r w:rsidR="000B60BC">
              <w:rPr>
                <w:rFonts w:eastAsia="Malgun Gothic"/>
                <w:lang w:eastAsia="ko-KR"/>
              </w:rPr>
              <w:t xml:space="preserve"> the full solution of mobility issue,</w:t>
            </w:r>
            <w:r w:rsidR="000A52A9">
              <w:rPr>
                <w:rFonts w:eastAsia="Malgun Gothic"/>
                <w:lang w:eastAsia="ko-KR"/>
              </w:rPr>
              <w:t xml:space="preserve"> not limited to </w:t>
            </w:r>
            <w:proofErr w:type="spellStart"/>
            <w:r w:rsidR="000A52A9">
              <w:rPr>
                <w:rFonts w:eastAsia="Malgun Gothic"/>
                <w:lang w:eastAsia="ko-KR"/>
              </w:rPr>
              <w:t>fullConfig</w:t>
            </w:r>
            <w:proofErr w:type="spellEnd"/>
            <w:r w:rsidR="000A52A9">
              <w:rPr>
                <w:rFonts w:eastAsia="Malgun Gothic"/>
                <w:lang w:eastAsia="ko-KR"/>
              </w:rPr>
              <w:t>. This includes</w:t>
            </w:r>
            <w:r w:rsidR="00762429">
              <w:rPr>
                <w:rFonts w:eastAsia="Malgun Gothic"/>
                <w:lang w:eastAsia="ko-KR"/>
              </w:rPr>
              <w:t xml:space="preserve"> procedure of </w:t>
            </w:r>
            <w:r w:rsidR="000B60BC">
              <w:rPr>
                <w:rFonts w:eastAsia="Malgun Gothic"/>
                <w:lang w:eastAsia="ko-KR"/>
              </w:rPr>
              <w:t>normal handover, RRC Resume, RRC Setup</w:t>
            </w:r>
            <w:r w:rsidR="00BA72C0">
              <w:rPr>
                <w:rFonts w:eastAsia="Malgun Gothic"/>
                <w:lang w:eastAsia="ko-KR"/>
              </w:rPr>
              <w:t xml:space="preserve"> including to legacy gNBs, Rel-17 gNBs not supporting the feature</w:t>
            </w:r>
            <w:r w:rsidR="00762429">
              <w:rPr>
                <w:rFonts w:eastAsia="Malgun Gothic"/>
                <w:lang w:eastAsia="ko-KR"/>
              </w:rPr>
              <w:t>, e.g. what to be released/</w:t>
            </w:r>
            <w:r w:rsidR="000A52A9">
              <w:rPr>
                <w:rFonts w:eastAsia="Malgun Gothic"/>
                <w:lang w:eastAsia="ko-KR"/>
              </w:rPr>
              <w:t>setup</w:t>
            </w:r>
            <w:r w:rsidR="00BA72C0">
              <w:rPr>
                <w:rFonts w:eastAsia="Malgun Gothic"/>
                <w:lang w:eastAsia="ko-KR"/>
              </w:rPr>
              <w:t xml:space="preserve"> and how</w:t>
            </w:r>
            <w:r w:rsidR="000A52A9">
              <w:rPr>
                <w:rFonts w:eastAsia="Malgun Gothic"/>
                <w:lang w:eastAsia="ko-KR"/>
              </w:rPr>
              <w:t xml:space="preserve">, </w:t>
            </w:r>
            <w:r w:rsidR="00BA72C0">
              <w:rPr>
                <w:rFonts w:eastAsia="Malgun Gothic"/>
                <w:lang w:eastAsia="ko-KR"/>
              </w:rPr>
              <w:t>forward compatibility</w:t>
            </w:r>
            <w:r w:rsidR="000A52A9">
              <w:rPr>
                <w:rFonts w:eastAsia="Malgun Gothic"/>
                <w:lang w:eastAsia="ko-KR"/>
              </w:rPr>
              <w:t xml:space="preserve">, RRC ID handling at AS layer, </w:t>
            </w:r>
            <w:r w:rsidR="00267C7C">
              <w:rPr>
                <w:rFonts w:eastAsia="Malgun Gothic"/>
                <w:lang w:eastAsia="ko-KR"/>
              </w:rPr>
              <w:t>whether is AS layer or application layer to be responsible for the release of application layer measurement report</w:t>
            </w:r>
            <w:r w:rsidR="000B6287">
              <w:rPr>
                <w:rFonts w:eastAsia="Malgun Gothic"/>
                <w:lang w:eastAsia="ko-KR"/>
              </w:rPr>
              <w:t>, etc</w:t>
            </w:r>
            <w:r w:rsidR="00762429">
              <w:rPr>
                <w:rFonts w:eastAsia="Malgun Gothic"/>
                <w:lang w:eastAsia="ko-KR"/>
              </w:rPr>
              <w:t>.</w:t>
            </w:r>
          </w:p>
        </w:tc>
      </w:tr>
      <w:tr w:rsidR="00F35B61" w14:paraId="058AB126" w14:textId="77777777" w:rsidTr="00BF7B82">
        <w:tc>
          <w:tcPr>
            <w:tcW w:w="1838" w:type="dxa"/>
          </w:tcPr>
          <w:p w14:paraId="539DDE1B" w14:textId="23A3BD48" w:rsidR="00F35B61" w:rsidRDefault="00CA5BD6" w:rsidP="00BF7B82">
            <w:pPr>
              <w:spacing w:after="120"/>
              <w:rPr>
                <w:rFonts w:eastAsia="Malgun Gothic" w:hint="eastAsia"/>
                <w:lang w:eastAsia="zh-CN"/>
              </w:rPr>
            </w:pPr>
            <w:r>
              <w:rPr>
                <w:rFonts w:eastAsia="Malgun Gothic" w:hint="eastAsia"/>
                <w:lang w:eastAsia="zh-CN"/>
              </w:rPr>
              <w:t>CATT</w:t>
            </w:r>
          </w:p>
        </w:tc>
        <w:tc>
          <w:tcPr>
            <w:tcW w:w="6095" w:type="dxa"/>
          </w:tcPr>
          <w:p w14:paraId="57BCEADB" w14:textId="7AB76C1E" w:rsidR="00F35B61" w:rsidRPr="00DD753D" w:rsidRDefault="00CA5BD6" w:rsidP="00DD753D">
            <w:pPr>
              <w:spacing w:after="120"/>
              <w:rPr>
                <w:rFonts w:eastAsia="等线" w:hint="eastAsia"/>
                <w:lang w:eastAsia="zh-CN"/>
              </w:rPr>
            </w:pPr>
            <w:r>
              <w:rPr>
                <w:rFonts w:eastAsia="Malgun Gothic" w:hint="eastAsia"/>
                <w:lang w:eastAsia="zh-CN"/>
              </w:rPr>
              <w:t xml:space="preserve">Contribution driven for the mobility issue discussing. </w:t>
            </w:r>
            <w:r w:rsidR="00DD753D">
              <w:rPr>
                <w:rFonts w:eastAsia="Malgun Gothic"/>
                <w:lang w:eastAsia="zh-CN"/>
              </w:rPr>
              <w:t>F</w:t>
            </w:r>
            <w:r w:rsidR="00DD753D">
              <w:rPr>
                <w:rFonts w:eastAsia="Malgun Gothic" w:hint="eastAsia"/>
                <w:lang w:eastAsia="zh-CN"/>
              </w:rPr>
              <w:t xml:space="preserve">orward </w:t>
            </w:r>
            <w:r w:rsidR="00DD753D">
              <w:rPr>
                <w:rFonts w:eastAsia="Malgun Gothic"/>
                <w:lang w:eastAsia="zh-CN"/>
              </w:rPr>
              <w:t>compatibility</w:t>
            </w:r>
            <w:r w:rsidR="00DD753D">
              <w:rPr>
                <w:rFonts w:eastAsia="Malgun Gothic" w:hint="eastAsia"/>
                <w:lang w:eastAsia="zh-CN"/>
              </w:rPr>
              <w:t xml:space="preserve"> should be the imported fact since </w:t>
            </w:r>
            <w:r w:rsidR="00DD753D">
              <w:rPr>
                <w:rFonts w:eastAsia="Malgun Gothic"/>
                <w:lang w:eastAsia="zh-CN"/>
              </w:rPr>
              <w:t>the</w:t>
            </w:r>
            <w:r w:rsidR="00DD753D">
              <w:rPr>
                <w:rFonts w:eastAsia="Malgun Gothic" w:hint="eastAsia"/>
                <w:lang w:eastAsia="zh-CN"/>
              </w:rPr>
              <w:t xml:space="preserve"> RAN-visible Q</w:t>
            </w:r>
            <w:r w:rsidR="00DD753D">
              <w:rPr>
                <w:rFonts w:eastAsia="等线" w:hint="eastAsia"/>
                <w:lang w:eastAsia="zh-CN"/>
              </w:rPr>
              <w:t>oE will be discussed in RAN2 soon.</w:t>
            </w:r>
          </w:p>
        </w:tc>
      </w:tr>
      <w:tr w:rsidR="00F35B61" w14:paraId="3B683580" w14:textId="77777777" w:rsidTr="00BF7B82">
        <w:tc>
          <w:tcPr>
            <w:tcW w:w="1838" w:type="dxa"/>
          </w:tcPr>
          <w:p w14:paraId="34BAAD43" w14:textId="7AF33836" w:rsidR="00F35B61" w:rsidRDefault="00F35B61" w:rsidP="00BF7B82">
            <w:pPr>
              <w:spacing w:after="120"/>
              <w:rPr>
                <w:lang w:val="en-US"/>
              </w:rPr>
            </w:pPr>
          </w:p>
        </w:tc>
        <w:tc>
          <w:tcPr>
            <w:tcW w:w="6095" w:type="dxa"/>
          </w:tcPr>
          <w:p w14:paraId="2D79F993" w14:textId="0738095C" w:rsidR="00F35B61" w:rsidRPr="00DD753D" w:rsidRDefault="00F35B61" w:rsidP="00F35B61">
            <w:pPr>
              <w:spacing w:after="120"/>
              <w:rPr>
                <w:lang w:val="en-US"/>
              </w:rPr>
            </w:pPr>
          </w:p>
        </w:tc>
      </w:tr>
      <w:tr w:rsidR="00F35B61" w14:paraId="2BD3B986" w14:textId="77777777" w:rsidTr="00BF7B82">
        <w:tc>
          <w:tcPr>
            <w:tcW w:w="1838" w:type="dxa"/>
          </w:tcPr>
          <w:p w14:paraId="27D932B6" w14:textId="5FC06973" w:rsidR="00F35B61" w:rsidRDefault="00F35B61" w:rsidP="00BF7B82">
            <w:pPr>
              <w:spacing w:after="120"/>
            </w:pPr>
          </w:p>
        </w:tc>
        <w:tc>
          <w:tcPr>
            <w:tcW w:w="6095" w:type="dxa"/>
          </w:tcPr>
          <w:p w14:paraId="094B60F8" w14:textId="430C1C1F" w:rsidR="00F35B61" w:rsidRDefault="00F35B61" w:rsidP="00BF7B82">
            <w:pPr>
              <w:spacing w:after="120"/>
            </w:pPr>
          </w:p>
        </w:tc>
      </w:tr>
      <w:tr w:rsidR="00F35B61" w14:paraId="02A71495" w14:textId="77777777" w:rsidTr="00BF7B82">
        <w:tc>
          <w:tcPr>
            <w:tcW w:w="1838" w:type="dxa"/>
          </w:tcPr>
          <w:p w14:paraId="748122B1" w14:textId="739A481A" w:rsidR="00F35B61" w:rsidRDefault="00F35B61" w:rsidP="00BF7B82">
            <w:pPr>
              <w:spacing w:after="120"/>
              <w:rPr>
                <w:rFonts w:eastAsia="Malgun Gothic"/>
                <w:lang w:eastAsia="ko-KR"/>
              </w:rPr>
            </w:pPr>
          </w:p>
        </w:tc>
        <w:tc>
          <w:tcPr>
            <w:tcW w:w="6095" w:type="dxa"/>
          </w:tcPr>
          <w:p w14:paraId="191CD86A" w14:textId="429FB8D0" w:rsidR="00F35B61" w:rsidRDefault="00F35B61" w:rsidP="00BF7B82">
            <w:pPr>
              <w:spacing w:after="120"/>
              <w:rPr>
                <w:rFonts w:eastAsia="Malgun Gothic"/>
                <w:lang w:eastAsia="ko-KR"/>
              </w:rPr>
            </w:pPr>
          </w:p>
        </w:tc>
      </w:tr>
      <w:tr w:rsidR="00F35B61" w14:paraId="011261B3" w14:textId="77777777" w:rsidTr="00BF7B82">
        <w:tc>
          <w:tcPr>
            <w:tcW w:w="1838" w:type="dxa"/>
          </w:tcPr>
          <w:p w14:paraId="5ECD42D6" w14:textId="00CCF9CC" w:rsidR="00F35B61" w:rsidRDefault="00F35B61" w:rsidP="00BF7B82">
            <w:pPr>
              <w:spacing w:after="120"/>
            </w:pPr>
          </w:p>
        </w:tc>
        <w:tc>
          <w:tcPr>
            <w:tcW w:w="6095" w:type="dxa"/>
          </w:tcPr>
          <w:p w14:paraId="1F28F381" w14:textId="77777777" w:rsidR="00F35B61" w:rsidRDefault="00F35B61" w:rsidP="00BF7B82">
            <w:pPr>
              <w:spacing w:after="120"/>
            </w:pPr>
          </w:p>
        </w:tc>
      </w:tr>
      <w:tr w:rsidR="00F35B61" w14:paraId="4A428D71" w14:textId="77777777" w:rsidTr="00BF7B82">
        <w:tc>
          <w:tcPr>
            <w:tcW w:w="1838" w:type="dxa"/>
          </w:tcPr>
          <w:p w14:paraId="393ACE98" w14:textId="5297AD66" w:rsidR="00F35B61" w:rsidRDefault="00F35B61" w:rsidP="00BF7B82">
            <w:pPr>
              <w:spacing w:after="120"/>
            </w:pPr>
          </w:p>
        </w:tc>
        <w:tc>
          <w:tcPr>
            <w:tcW w:w="6095" w:type="dxa"/>
          </w:tcPr>
          <w:p w14:paraId="20146A66" w14:textId="0481DE74" w:rsidR="00F35B61" w:rsidRDefault="00F35B61" w:rsidP="00BF7B82">
            <w:pPr>
              <w:spacing w:after="120"/>
              <w:rPr>
                <w:lang w:eastAsia="zh-CN"/>
              </w:rPr>
            </w:pPr>
          </w:p>
        </w:tc>
      </w:tr>
      <w:tr w:rsidR="00F35B61" w14:paraId="76BE4C9B" w14:textId="77777777" w:rsidTr="00BF7B82">
        <w:tc>
          <w:tcPr>
            <w:tcW w:w="1838" w:type="dxa"/>
          </w:tcPr>
          <w:p w14:paraId="7638FF57" w14:textId="77777777" w:rsidR="00F35B61" w:rsidRDefault="00F35B61" w:rsidP="00BF7B82">
            <w:pPr>
              <w:spacing w:after="120"/>
            </w:pPr>
          </w:p>
        </w:tc>
        <w:tc>
          <w:tcPr>
            <w:tcW w:w="6095" w:type="dxa"/>
          </w:tcPr>
          <w:p w14:paraId="03A89DE7" w14:textId="77777777" w:rsidR="00F35B61" w:rsidRDefault="00F35B61" w:rsidP="00BF7B82">
            <w:pPr>
              <w:spacing w:after="120"/>
            </w:pPr>
          </w:p>
        </w:tc>
      </w:tr>
      <w:tr w:rsidR="00F35B61" w14:paraId="3CEF0215" w14:textId="77777777" w:rsidTr="00BF7B82">
        <w:tc>
          <w:tcPr>
            <w:tcW w:w="1838" w:type="dxa"/>
          </w:tcPr>
          <w:p w14:paraId="7D8DBE28" w14:textId="77777777" w:rsidR="00F35B61" w:rsidRDefault="00F35B61" w:rsidP="00BF7B82">
            <w:pPr>
              <w:spacing w:after="120"/>
            </w:pPr>
          </w:p>
        </w:tc>
        <w:tc>
          <w:tcPr>
            <w:tcW w:w="6095" w:type="dxa"/>
          </w:tcPr>
          <w:p w14:paraId="41C4FB71" w14:textId="77777777" w:rsidR="00F35B61" w:rsidRDefault="00F35B61" w:rsidP="00BF7B82">
            <w:pPr>
              <w:spacing w:after="120"/>
            </w:pPr>
          </w:p>
        </w:tc>
      </w:tr>
      <w:tr w:rsidR="00F35B61" w14:paraId="79F8CEA0" w14:textId="77777777" w:rsidTr="00BF7B82">
        <w:tc>
          <w:tcPr>
            <w:tcW w:w="1838" w:type="dxa"/>
          </w:tcPr>
          <w:p w14:paraId="382FA5EA" w14:textId="77777777" w:rsidR="00F35B61" w:rsidRDefault="00F35B61" w:rsidP="00BF7B82">
            <w:pPr>
              <w:spacing w:after="120"/>
            </w:pPr>
          </w:p>
        </w:tc>
        <w:tc>
          <w:tcPr>
            <w:tcW w:w="6095" w:type="dxa"/>
          </w:tcPr>
          <w:p w14:paraId="16FCC406" w14:textId="77777777" w:rsidR="00F35B61" w:rsidRDefault="00F35B61" w:rsidP="00BF7B82">
            <w:pPr>
              <w:spacing w:after="120"/>
            </w:pPr>
          </w:p>
        </w:tc>
      </w:tr>
      <w:tr w:rsidR="00F35B61" w14:paraId="250F7264" w14:textId="77777777" w:rsidTr="00BF7B82">
        <w:tc>
          <w:tcPr>
            <w:tcW w:w="1838" w:type="dxa"/>
          </w:tcPr>
          <w:p w14:paraId="591BD605" w14:textId="77777777" w:rsidR="00F35B61" w:rsidRDefault="00F35B61" w:rsidP="00BF7B82">
            <w:pPr>
              <w:spacing w:after="120"/>
              <w:rPr>
                <w:lang w:eastAsia="zh-CN"/>
              </w:rPr>
            </w:pPr>
          </w:p>
        </w:tc>
        <w:tc>
          <w:tcPr>
            <w:tcW w:w="6095" w:type="dxa"/>
          </w:tcPr>
          <w:p w14:paraId="1BEE6E70" w14:textId="77777777" w:rsidR="00F35B61" w:rsidRDefault="00F35B61" w:rsidP="00BF7B82">
            <w:pPr>
              <w:spacing w:after="120"/>
              <w:rPr>
                <w:lang w:eastAsia="zh-CN"/>
              </w:rPr>
            </w:pPr>
          </w:p>
        </w:tc>
      </w:tr>
      <w:tr w:rsidR="00F35B61" w14:paraId="3B2E3708" w14:textId="77777777" w:rsidTr="00BF7B82">
        <w:tc>
          <w:tcPr>
            <w:tcW w:w="1838" w:type="dxa"/>
          </w:tcPr>
          <w:p w14:paraId="5CA4268A" w14:textId="77777777" w:rsidR="00F35B61" w:rsidRDefault="00F35B61" w:rsidP="00BF7B82">
            <w:pPr>
              <w:spacing w:after="120"/>
              <w:rPr>
                <w:lang w:eastAsia="zh-CN"/>
              </w:rPr>
            </w:pPr>
          </w:p>
        </w:tc>
        <w:tc>
          <w:tcPr>
            <w:tcW w:w="6095" w:type="dxa"/>
          </w:tcPr>
          <w:p w14:paraId="20676F86" w14:textId="77777777" w:rsidR="00F35B61" w:rsidRDefault="00F35B61" w:rsidP="00BF7B82">
            <w:pPr>
              <w:spacing w:after="120"/>
              <w:rPr>
                <w:lang w:eastAsia="zh-CN"/>
              </w:rPr>
            </w:pPr>
          </w:p>
        </w:tc>
      </w:tr>
      <w:tr w:rsidR="00F35B61" w14:paraId="10278EE3" w14:textId="77777777" w:rsidTr="00BF7B82">
        <w:tc>
          <w:tcPr>
            <w:tcW w:w="1838" w:type="dxa"/>
          </w:tcPr>
          <w:p w14:paraId="7701EF17" w14:textId="77777777" w:rsidR="00F35B61" w:rsidRDefault="00F35B61" w:rsidP="00BF7B82">
            <w:pPr>
              <w:spacing w:after="120"/>
              <w:rPr>
                <w:lang w:eastAsia="zh-CN"/>
              </w:rPr>
            </w:pPr>
          </w:p>
        </w:tc>
        <w:tc>
          <w:tcPr>
            <w:tcW w:w="6095" w:type="dxa"/>
          </w:tcPr>
          <w:p w14:paraId="203E469C" w14:textId="77777777" w:rsidR="00F35B61" w:rsidRDefault="00F35B61" w:rsidP="00BF7B82">
            <w:pPr>
              <w:spacing w:after="120"/>
              <w:rPr>
                <w:lang w:eastAsia="zh-CN"/>
              </w:rPr>
            </w:pPr>
          </w:p>
        </w:tc>
      </w:tr>
    </w:tbl>
    <w:p w14:paraId="58A1677D" w14:textId="77777777" w:rsidR="00F35B61" w:rsidRDefault="00F35B61" w:rsidP="00F35B61">
      <w:pPr>
        <w:pStyle w:val="a0"/>
        <w:numPr>
          <w:ilvl w:val="0"/>
          <w:numId w:val="0"/>
        </w:numPr>
        <w:rPr>
          <w:lang w:val="en-US"/>
        </w:rPr>
      </w:pPr>
    </w:p>
    <w:p w14:paraId="6622BA44" w14:textId="77777777" w:rsidR="00F35B61" w:rsidRDefault="00F35B61" w:rsidP="00BA6DE1">
      <w:pPr>
        <w:pStyle w:val="a0"/>
        <w:numPr>
          <w:ilvl w:val="0"/>
          <w:numId w:val="0"/>
        </w:numPr>
      </w:pPr>
    </w:p>
    <w:p w14:paraId="6B6D8333" w14:textId="77777777" w:rsidR="0045661D" w:rsidRDefault="0045661D"/>
    <w:p w14:paraId="6B6D8334" w14:textId="77777777" w:rsidR="0045661D" w:rsidRDefault="00AE0EF7">
      <w:pPr>
        <w:pStyle w:val="1"/>
      </w:pPr>
      <w:r>
        <w:lastRenderedPageBreak/>
        <w:t>3</w:t>
      </w:r>
      <w:r>
        <w:tab/>
        <w:t>Conclusion</w:t>
      </w:r>
    </w:p>
    <w:p w14:paraId="6B6D8335" w14:textId="77777777" w:rsidR="0045661D" w:rsidRDefault="0045661D">
      <w:pPr>
        <w:pStyle w:val="a6"/>
      </w:pPr>
    </w:p>
    <w:p w14:paraId="6B6D8336" w14:textId="77777777" w:rsidR="0045661D" w:rsidRDefault="0045661D">
      <w:pPr>
        <w:pStyle w:val="a0"/>
        <w:numPr>
          <w:ilvl w:val="0"/>
          <w:numId w:val="0"/>
        </w:numPr>
        <w:ind w:left="1004" w:hanging="360"/>
      </w:pPr>
    </w:p>
    <w:p w14:paraId="6B6D8337" w14:textId="77777777" w:rsidR="0045661D" w:rsidRDefault="0045661D">
      <w:pPr>
        <w:pStyle w:val="a0"/>
        <w:numPr>
          <w:ilvl w:val="0"/>
          <w:numId w:val="0"/>
        </w:numPr>
      </w:pPr>
    </w:p>
    <w:p w14:paraId="6B6D8338" w14:textId="77777777" w:rsidR="0045661D" w:rsidRDefault="00AE0EF7">
      <w:pPr>
        <w:pStyle w:val="1"/>
      </w:pPr>
      <w:r>
        <w:t>4</w:t>
      </w:r>
      <w:r>
        <w:tab/>
        <w:t>References</w:t>
      </w:r>
    </w:p>
    <w:bookmarkStart w:id="2" w:name="_Ref1"/>
    <w:bookmarkStart w:id="3"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3">
        <w:r>
          <w:rPr>
            <w:rStyle w:val="af8"/>
            <w:color w:val="0563C1" w:themeColor="hyperlink"/>
          </w:rPr>
          <w:t>QoE configuration, reporting and mobility</w:t>
        </w:r>
      </w:hyperlink>
      <w:r>
        <w:t>, Qualcomm Incorporated, RAN2#116e, e, November 2021</w:t>
      </w:r>
      <w:bookmarkEnd w:id="2"/>
    </w:p>
    <w:bookmarkStart w:id="4"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4">
        <w:r>
          <w:rPr>
            <w:rStyle w:val="af8"/>
            <w:color w:val="0563C1" w:themeColor="hyperlink"/>
          </w:rPr>
          <w:t>QoE measurement configuration and general aspects</w:t>
        </w:r>
      </w:hyperlink>
      <w:r>
        <w:t>, Intel Corporation, RAN2#116e, e, November 2021</w:t>
      </w:r>
      <w:bookmarkEnd w:id="4"/>
    </w:p>
    <w:bookmarkStart w:id="5"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5">
        <w:r>
          <w:rPr>
            <w:rStyle w:val="af8"/>
            <w:color w:val="0563C1" w:themeColor="hyperlink"/>
          </w:rPr>
          <w:t>Further discussion on transmission of QoE reports</w:t>
        </w:r>
      </w:hyperlink>
      <w:r>
        <w:t>, Lenovo, Motorola Mobility, RAN2#116e, e, November 2021</w:t>
      </w:r>
      <w:bookmarkEnd w:id="5"/>
    </w:p>
    <w:bookmarkStart w:id="6"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6">
        <w:r>
          <w:rPr>
            <w:rStyle w:val="af8"/>
            <w:color w:val="0563C1" w:themeColor="hyperlink"/>
          </w:rPr>
          <w:t>Configuration and reporting of QoE measurements</w:t>
        </w:r>
      </w:hyperlink>
      <w:r>
        <w:t>, Ericsson, RAN2#116e, e, November 2021</w:t>
      </w:r>
      <w:bookmarkEnd w:id="6"/>
    </w:p>
    <w:bookmarkStart w:id="7"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7">
        <w:r>
          <w:rPr>
            <w:rStyle w:val="af8"/>
            <w:color w:val="0563C1" w:themeColor="hyperlink"/>
          </w:rPr>
          <w:t>QoE measurements at handover, resume and re-establishment</w:t>
        </w:r>
      </w:hyperlink>
      <w:r>
        <w:t>, Ericsson, China Unicom, RAN2#116e, e, November 2021</w:t>
      </w:r>
      <w:bookmarkEnd w:id="7"/>
    </w:p>
    <w:bookmarkStart w:id="8"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8">
        <w:r>
          <w:rPr>
            <w:rStyle w:val="af8"/>
            <w:color w:val="0563C1" w:themeColor="hyperlink"/>
          </w:rPr>
          <w:t>Discussion on QoE configuration</w:t>
        </w:r>
      </w:hyperlink>
      <w:r>
        <w:t>, vivo, RAN2#116e, e, November 2021</w:t>
      </w:r>
      <w:bookmarkEnd w:id="8"/>
    </w:p>
    <w:bookmarkStart w:id="9"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19">
        <w:r>
          <w:rPr>
            <w:rStyle w:val="af8"/>
            <w:color w:val="0563C1" w:themeColor="hyperlink"/>
          </w:rPr>
          <w:t>Supporting mobility for NR QoE</w:t>
        </w:r>
      </w:hyperlink>
      <w:r>
        <w:t>, Apple, RAN2#116e, e, November 2021</w:t>
      </w:r>
      <w:bookmarkEnd w:id="9"/>
    </w:p>
    <w:bookmarkStart w:id="10"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0">
        <w:r>
          <w:rPr>
            <w:rStyle w:val="af8"/>
            <w:color w:val="0563C1" w:themeColor="hyperlink"/>
          </w:rPr>
          <w:t>Discussion on QoE measurement collection in NR</w:t>
        </w:r>
      </w:hyperlink>
      <w:r>
        <w:t>, OPPO, RAN2#116e, e, November 2021</w:t>
      </w:r>
      <w:bookmarkEnd w:id="10"/>
    </w:p>
    <w:bookmarkStart w:id="11"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1">
        <w:r>
          <w:rPr>
            <w:rStyle w:val="af8"/>
            <w:color w:val="0563C1" w:themeColor="hyperlink"/>
          </w:rPr>
          <w:t>Discussion on QoE measurement configuration and reporting</w:t>
        </w:r>
      </w:hyperlink>
      <w:r>
        <w:t xml:space="preserve">, Huawei, </w:t>
      </w:r>
      <w:proofErr w:type="spellStart"/>
      <w:r>
        <w:t>HiSilicon</w:t>
      </w:r>
      <w:proofErr w:type="spellEnd"/>
      <w:r>
        <w:t>, RAN2#116e, e, November 2021</w:t>
      </w:r>
      <w:bookmarkEnd w:id="11"/>
    </w:p>
    <w:bookmarkStart w:id="12"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2">
        <w:r>
          <w:rPr>
            <w:rStyle w:val="af8"/>
            <w:color w:val="0563C1" w:themeColor="hyperlink"/>
          </w:rPr>
          <w:t>QoE configuration handling</w:t>
        </w:r>
      </w:hyperlink>
      <w:r>
        <w:t>, Nokia, Nokia Shanghai Bell, RAN2#116e, e, November 2021</w:t>
      </w:r>
      <w:bookmarkEnd w:id="12"/>
    </w:p>
    <w:bookmarkStart w:id="13"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3">
        <w:r>
          <w:rPr>
            <w:rStyle w:val="af8"/>
            <w:color w:val="0563C1" w:themeColor="hyperlink"/>
          </w:rPr>
          <w:t>Discussion on NR QoE configuration</w:t>
        </w:r>
      </w:hyperlink>
      <w:r>
        <w:t xml:space="preserve">, ZTE Corporation, </w:t>
      </w:r>
      <w:proofErr w:type="spellStart"/>
      <w:r>
        <w:t>Sanechips</w:t>
      </w:r>
      <w:proofErr w:type="spellEnd"/>
      <w:r>
        <w:t>, RAN2#116e, e, November 2021</w:t>
      </w:r>
      <w:bookmarkEnd w:id="13"/>
    </w:p>
    <w:bookmarkStart w:id="14"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4">
        <w:r>
          <w:rPr>
            <w:rStyle w:val="af8"/>
            <w:color w:val="0563C1" w:themeColor="hyperlink"/>
          </w:rPr>
          <w:t>Discussion on NR QoE configuration</w:t>
        </w:r>
      </w:hyperlink>
      <w:r>
        <w:t>, CATT, RAN2#116e, e, November 2021</w:t>
      </w:r>
      <w:bookmarkEnd w:id="14"/>
    </w:p>
    <w:bookmarkStart w:id="15"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5">
        <w:r>
          <w:rPr>
            <w:rStyle w:val="af8"/>
            <w:color w:val="0563C1" w:themeColor="hyperlink"/>
          </w:rPr>
          <w:t>Remaining issues on configuration and reporting</w:t>
        </w:r>
      </w:hyperlink>
      <w:r>
        <w:t>, CMCC, RAN2#116e, e, November 2021</w:t>
      </w:r>
      <w:bookmarkEnd w:id="15"/>
    </w:p>
    <w:bookmarkStart w:id="16"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6">
        <w:r>
          <w:rPr>
            <w:rStyle w:val="af8"/>
            <w:color w:val="0563C1" w:themeColor="hyperlink"/>
          </w:rPr>
          <w:t>QoE configuration in general aspects</w:t>
        </w:r>
      </w:hyperlink>
      <w:r>
        <w:t>, Samsung, RAN2#116e, e, November 2021</w:t>
      </w:r>
      <w:bookmarkEnd w:id="16"/>
    </w:p>
    <w:bookmarkStart w:id="17"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7">
        <w:r>
          <w:rPr>
            <w:rStyle w:val="af8"/>
            <w:color w:val="0563C1" w:themeColor="hyperlink"/>
          </w:rPr>
          <w:t>RRC segmentation for QoE configuration and report</w:t>
        </w:r>
      </w:hyperlink>
      <w:r>
        <w:t>, Samsung, RAN2#116e, e, November 2021</w:t>
      </w:r>
      <w:bookmarkEnd w:id="17"/>
    </w:p>
    <w:bookmarkStart w:id="18"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8">
        <w:r>
          <w:rPr>
            <w:rStyle w:val="af8"/>
            <w:color w:val="0563C1" w:themeColor="hyperlink"/>
          </w:rPr>
          <w:t>Discussion on NR QoE measurement and configurations</w:t>
        </w:r>
      </w:hyperlink>
      <w:r>
        <w:t>, China Unicom, RAN2#116e, e, November 2021</w:t>
      </w:r>
      <w:bookmarkEnd w:id="3"/>
      <w:bookmarkEnd w:id="18"/>
    </w:p>
    <w:sectPr w:rsidR="0045661D">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1B620" w14:textId="77777777" w:rsidR="001F3C66" w:rsidRDefault="001F3C66">
      <w:pPr>
        <w:spacing w:after="0" w:line="240" w:lineRule="auto"/>
      </w:pPr>
      <w:r>
        <w:separator/>
      </w:r>
    </w:p>
  </w:endnote>
  <w:endnote w:type="continuationSeparator" w:id="0">
    <w:p w14:paraId="65217DF5" w14:textId="77777777" w:rsidR="001F3C66" w:rsidRDefault="001F3C66">
      <w:pPr>
        <w:spacing w:after="0" w:line="240" w:lineRule="auto"/>
      </w:pPr>
      <w:r>
        <w:continuationSeparator/>
      </w:r>
    </w:p>
  </w:endnote>
  <w:endnote w:type="continuationNotice" w:id="1">
    <w:p w14:paraId="3DC06702" w14:textId="77777777" w:rsidR="001F3C66" w:rsidRDefault="001F3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2983" w14:textId="77777777" w:rsidR="00AD3ED0" w:rsidRDefault="00AD3ED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834E" w14:textId="77777777" w:rsidR="0045661D" w:rsidRDefault="00AE0EF7">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34AB3">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34AB3">
      <w:rPr>
        <w:rStyle w:val="af5"/>
        <w:noProof/>
      </w:rPr>
      <w:t>6</w:t>
    </w:r>
    <w:r>
      <w:rPr>
        <w:rStyle w:val="af5"/>
      </w:rP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9CC08" w14:textId="77777777" w:rsidR="00AD3ED0" w:rsidRDefault="00AD3ED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6A01F" w14:textId="77777777" w:rsidR="001F3C66" w:rsidRDefault="001F3C66">
      <w:pPr>
        <w:spacing w:after="0" w:line="240" w:lineRule="auto"/>
      </w:pPr>
      <w:r>
        <w:separator/>
      </w:r>
    </w:p>
  </w:footnote>
  <w:footnote w:type="continuationSeparator" w:id="0">
    <w:p w14:paraId="69BDF47B" w14:textId="77777777" w:rsidR="001F3C66" w:rsidRDefault="001F3C66">
      <w:pPr>
        <w:spacing w:after="0" w:line="240" w:lineRule="auto"/>
      </w:pPr>
      <w:r>
        <w:continuationSeparator/>
      </w:r>
    </w:p>
  </w:footnote>
  <w:footnote w:type="continuationNotice" w:id="1">
    <w:p w14:paraId="6DA9B1FB" w14:textId="77777777" w:rsidR="001F3C66" w:rsidRDefault="001F3C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4280" w14:textId="77777777" w:rsidR="00AD3ED0" w:rsidRDefault="00AD3ED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C1C0" w14:textId="77777777" w:rsidR="00AD3ED0" w:rsidRDefault="00AD3ED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C97304"/>
    <w:multiLevelType w:val="singleLevel"/>
    <w:tmpl w:val="03C97304"/>
    <w:lvl w:ilvl="0">
      <w:start w:val="1"/>
      <w:numFmt w:val="decimal"/>
      <w:suff w:val="space"/>
      <w:lvlText w:val="%1."/>
      <w:lvlJc w:val="left"/>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89"/>
    <w:rsid w:val="002500C8"/>
    <w:rsid w:val="00257543"/>
    <w:rsid w:val="002617E7"/>
    <w:rsid w:val="00264228"/>
    <w:rsid w:val="00264334"/>
    <w:rsid w:val="0026473E"/>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0071"/>
    <w:rsid w:val="005219CF"/>
    <w:rsid w:val="00531A07"/>
    <w:rsid w:val="00534B59"/>
    <w:rsid w:val="00536759"/>
    <w:rsid w:val="00537C62"/>
    <w:rsid w:val="00546970"/>
    <w:rsid w:val="00554E19"/>
    <w:rsid w:val="005579F2"/>
    <w:rsid w:val="0056121F"/>
    <w:rsid w:val="0056401F"/>
    <w:rsid w:val="00572505"/>
    <w:rsid w:val="00582809"/>
    <w:rsid w:val="0058798C"/>
    <w:rsid w:val="00587EDE"/>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2429"/>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6BE0"/>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41FE"/>
    <w:rsid w:val="00CA5BD6"/>
    <w:rsid w:val="00CA67E6"/>
    <w:rsid w:val="00CB1F63"/>
    <w:rsid w:val="00CB7170"/>
    <w:rsid w:val="00CC040E"/>
    <w:rsid w:val="00CC111F"/>
    <w:rsid w:val="00CC2011"/>
    <w:rsid w:val="00CC33D8"/>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1395"/>
    <w:rsid w:val="00DC257C"/>
    <w:rsid w:val="00DC2D36"/>
    <w:rsid w:val="00DC53EF"/>
    <w:rsid w:val="00DD753D"/>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34AB3"/>
    <w:rsid w:val="00F35B6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BCBA3B-DFDB-40DC-B2AE-7328FE7C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 rapporteur</cp:lastModifiedBy>
  <cp:revision>2</cp:revision>
  <cp:lastPrinted>2008-01-31T07:09:00Z</cp:lastPrinted>
  <dcterms:created xsi:type="dcterms:W3CDTF">2021-11-29T09:33:00Z</dcterms:created>
  <dcterms:modified xsi:type="dcterms:W3CDTF">2021-11-29T09:33:00Z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