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Thus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session(e.g.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D73746">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D73746">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it is clear that this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area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on/off  by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2.If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r w:rsidR="00F34AB3" w:rsidRPr="009D1DE0">
              <w:rPr>
                <w:rFonts w:eastAsia="DengXian" w:hint="eastAsia"/>
                <w:color w:val="7F7F7F" w:themeColor="text1" w:themeTint="80"/>
                <w:lang w:val="en-US" w:eastAsia="zh-CN"/>
              </w:rPr>
              <w:t>he</w:t>
            </w:r>
            <w:proofErr w:type="spell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BF7B82">
        <w:tc>
          <w:tcPr>
            <w:tcW w:w="1838" w:type="dxa"/>
            <w:shd w:val="clear" w:color="auto" w:fill="D9D9D9"/>
          </w:tcPr>
          <w:p w14:paraId="78CBCF94" w14:textId="77777777" w:rsidR="00F35B61" w:rsidRPr="009D1DE0" w:rsidRDefault="00F35B61" w:rsidP="00BF7B82">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BF7B82">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BF7B82">
        <w:tc>
          <w:tcPr>
            <w:tcW w:w="1838" w:type="dxa"/>
          </w:tcPr>
          <w:p w14:paraId="2193BC6E" w14:textId="09A2FA4A" w:rsidR="00F35B61" w:rsidRPr="009D1DE0" w:rsidRDefault="00A66BE0" w:rsidP="00BF7B82">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BF7B82">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BF7B82">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BF7B82">
        <w:tc>
          <w:tcPr>
            <w:tcW w:w="1838" w:type="dxa"/>
          </w:tcPr>
          <w:p w14:paraId="4E3643A4" w14:textId="64D74C16"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BF7B82">
        <w:tc>
          <w:tcPr>
            <w:tcW w:w="1838" w:type="dxa"/>
          </w:tcPr>
          <w:p w14:paraId="539DDE1B" w14:textId="23A3BD48" w:rsidR="00F35B61" w:rsidRPr="009D1DE0" w:rsidRDefault="00CA5BD6" w:rsidP="00BF7B82">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BF7B82">
        <w:tc>
          <w:tcPr>
            <w:tcW w:w="1838" w:type="dxa"/>
          </w:tcPr>
          <w:p w14:paraId="34BAAD43" w14:textId="3FAB3E17" w:rsidR="00F35B61" w:rsidRPr="009D1DE0" w:rsidRDefault="006D0423" w:rsidP="00BF7B82">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BF7B82">
        <w:tc>
          <w:tcPr>
            <w:tcW w:w="1838" w:type="dxa"/>
          </w:tcPr>
          <w:p w14:paraId="27D932B6" w14:textId="5FC06973" w:rsidR="00F35B61" w:rsidRPr="009D1DE0" w:rsidRDefault="00F35B61" w:rsidP="00BF7B82">
            <w:pPr>
              <w:spacing w:after="120"/>
              <w:rPr>
                <w:color w:val="7F7F7F" w:themeColor="text1" w:themeTint="80"/>
              </w:rPr>
            </w:pPr>
          </w:p>
        </w:tc>
        <w:tc>
          <w:tcPr>
            <w:tcW w:w="6095" w:type="dxa"/>
          </w:tcPr>
          <w:p w14:paraId="094B60F8" w14:textId="430C1C1F" w:rsidR="00F35B61" w:rsidRPr="009D1DE0" w:rsidRDefault="00F35B61" w:rsidP="00BF7B82">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w:t>
      </w:r>
      <w:r>
        <w:t>2</w:t>
      </w:r>
      <w:r>
        <w:tab/>
      </w:r>
      <w:r>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The UE needs to indicate to the network when the session is finally released, so that the network can release the measurement configuration also.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3C3639E0"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4F84A924" w14:textId="77777777" w:rsidR="00B77A11" w:rsidRDefault="00B77A11" w:rsidP="00B77A11">
      <w:pPr>
        <w:pStyle w:val="ListBullet"/>
        <w:numPr>
          <w:ilvl w:val="0"/>
          <w:numId w:val="0"/>
        </w:numPr>
      </w:pPr>
      <w:r>
        <w:lastRenderedPageBreak/>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BF7B82">
        <w:tc>
          <w:tcPr>
            <w:tcW w:w="1838" w:type="dxa"/>
            <w:shd w:val="clear" w:color="auto" w:fill="D9D9D9"/>
          </w:tcPr>
          <w:p w14:paraId="2F59B11B" w14:textId="77777777" w:rsidR="00B77A11" w:rsidRDefault="00B77A11" w:rsidP="00BF7B82">
            <w:pPr>
              <w:spacing w:after="120"/>
              <w:rPr>
                <w:b/>
                <w:bCs/>
              </w:rPr>
            </w:pPr>
            <w:r>
              <w:rPr>
                <w:b/>
                <w:bCs/>
              </w:rPr>
              <w:t>Company</w:t>
            </w:r>
          </w:p>
        </w:tc>
        <w:tc>
          <w:tcPr>
            <w:tcW w:w="6095" w:type="dxa"/>
            <w:shd w:val="clear" w:color="auto" w:fill="D9D9D9"/>
          </w:tcPr>
          <w:p w14:paraId="1EEC2949" w14:textId="77777777" w:rsidR="00B77A11" w:rsidRDefault="00B77A11" w:rsidP="00BF7B82">
            <w:pPr>
              <w:spacing w:after="120"/>
              <w:rPr>
                <w:b/>
                <w:bCs/>
              </w:rPr>
            </w:pPr>
            <w:r>
              <w:rPr>
                <w:b/>
                <w:bCs/>
              </w:rPr>
              <w:t>Answer</w:t>
            </w:r>
          </w:p>
        </w:tc>
      </w:tr>
      <w:tr w:rsidR="00B77A11" w14:paraId="62C14918" w14:textId="77777777" w:rsidTr="00BF7B82">
        <w:tc>
          <w:tcPr>
            <w:tcW w:w="1838" w:type="dxa"/>
          </w:tcPr>
          <w:p w14:paraId="2E252AE1" w14:textId="77777777" w:rsidR="00B77A11" w:rsidRDefault="00B77A11" w:rsidP="00BF7B82">
            <w:pPr>
              <w:spacing w:after="120"/>
            </w:pPr>
          </w:p>
        </w:tc>
        <w:tc>
          <w:tcPr>
            <w:tcW w:w="6095" w:type="dxa"/>
          </w:tcPr>
          <w:p w14:paraId="62EABF7F" w14:textId="77777777" w:rsidR="00B77A11" w:rsidRDefault="00B77A11" w:rsidP="00BF7B82">
            <w:pPr>
              <w:spacing w:after="120"/>
            </w:pPr>
          </w:p>
        </w:tc>
      </w:tr>
      <w:tr w:rsidR="00B77A11" w14:paraId="094A1FA4" w14:textId="77777777" w:rsidTr="00BF7B82">
        <w:tc>
          <w:tcPr>
            <w:tcW w:w="1838" w:type="dxa"/>
          </w:tcPr>
          <w:p w14:paraId="2C1E1561" w14:textId="77777777" w:rsidR="00B77A11" w:rsidRDefault="00B77A11" w:rsidP="00BF7B82">
            <w:pPr>
              <w:spacing w:after="120"/>
              <w:rPr>
                <w:rFonts w:eastAsia="Malgun Gothic"/>
                <w:lang w:eastAsia="ko-KR"/>
              </w:rPr>
            </w:pPr>
          </w:p>
        </w:tc>
        <w:tc>
          <w:tcPr>
            <w:tcW w:w="6095" w:type="dxa"/>
          </w:tcPr>
          <w:p w14:paraId="19270727" w14:textId="77777777" w:rsidR="00B77A11" w:rsidRDefault="00B77A11" w:rsidP="00BF7B82">
            <w:pPr>
              <w:spacing w:after="120"/>
              <w:rPr>
                <w:rFonts w:eastAsia="Malgun Gothic"/>
                <w:lang w:eastAsia="ko-KR"/>
              </w:rPr>
            </w:pPr>
          </w:p>
        </w:tc>
      </w:tr>
      <w:tr w:rsidR="00B77A11" w14:paraId="58152D3B" w14:textId="77777777" w:rsidTr="00BF7B82">
        <w:tc>
          <w:tcPr>
            <w:tcW w:w="1838" w:type="dxa"/>
          </w:tcPr>
          <w:p w14:paraId="7BAC7A17" w14:textId="77777777" w:rsidR="00B77A11" w:rsidRDefault="00B77A11" w:rsidP="00BF7B82">
            <w:pPr>
              <w:spacing w:after="120"/>
              <w:rPr>
                <w:rFonts w:eastAsia="Malgun Gothic"/>
                <w:lang w:eastAsia="zh-CN"/>
              </w:rPr>
            </w:pPr>
          </w:p>
        </w:tc>
        <w:tc>
          <w:tcPr>
            <w:tcW w:w="6095" w:type="dxa"/>
          </w:tcPr>
          <w:p w14:paraId="22D4C84E" w14:textId="77777777" w:rsidR="00B77A11" w:rsidRPr="00DD753D" w:rsidRDefault="00B77A11" w:rsidP="00BF7B82">
            <w:pPr>
              <w:spacing w:after="120"/>
              <w:rPr>
                <w:rFonts w:eastAsia="DengXian"/>
                <w:lang w:eastAsia="zh-CN"/>
              </w:rPr>
            </w:pPr>
          </w:p>
        </w:tc>
      </w:tr>
      <w:tr w:rsidR="00B77A11" w14:paraId="3B34B119" w14:textId="77777777" w:rsidTr="00BF7B82">
        <w:tc>
          <w:tcPr>
            <w:tcW w:w="1838" w:type="dxa"/>
          </w:tcPr>
          <w:p w14:paraId="3F75028E" w14:textId="77777777" w:rsidR="00B77A11" w:rsidRDefault="00B77A11" w:rsidP="00BF7B82">
            <w:pPr>
              <w:spacing w:after="120"/>
              <w:rPr>
                <w:lang w:val="en-US"/>
              </w:rPr>
            </w:pPr>
          </w:p>
        </w:tc>
        <w:tc>
          <w:tcPr>
            <w:tcW w:w="6095" w:type="dxa"/>
          </w:tcPr>
          <w:p w14:paraId="06EFDE6D" w14:textId="77777777" w:rsidR="00B77A11" w:rsidRPr="00DD753D" w:rsidRDefault="00B77A11" w:rsidP="00BF7B82">
            <w:pPr>
              <w:spacing w:after="120"/>
              <w:rPr>
                <w:lang w:val="en-US"/>
              </w:rPr>
            </w:pPr>
          </w:p>
        </w:tc>
      </w:tr>
      <w:tr w:rsidR="00B77A11" w14:paraId="30B0F472" w14:textId="77777777" w:rsidTr="00BF7B82">
        <w:tc>
          <w:tcPr>
            <w:tcW w:w="1838" w:type="dxa"/>
          </w:tcPr>
          <w:p w14:paraId="6F7ADA14" w14:textId="77777777" w:rsidR="00B77A11" w:rsidRDefault="00B77A11" w:rsidP="00BF7B82">
            <w:pPr>
              <w:spacing w:after="120"/>
            </w:pPr>
          </w:p>
        </w:tc>
        <w:tc>
          <w:tcPr>
            <w:tcW w:w="6095" w:type="dxa"/>
          </w:tcPr>
          <w:p w14:paraId="570D34D7" w14:textId="77777777" w:rsidR="00B77A11" w:rsidRDefault="00B77A11" w:rsidP="00BF7B82">
            <w:pPr>
              <w:spacing w:after="120"/>
            </w:pPr>
          </w:p>
        </w:tc>
      </w:tr>
      <w:tr w:rsidR="00B77A11" w14:paraId="5646D545" w14:textId="77777777" w:rsidTr="00BF7B82">
        <w:tc>
          <w:tcPr>
            <w:tcW w:w="1838" w:type="dxa"/>
          </w:tcPr>
          <w:p w14:paraId="0F9E992D" w14:textId="77777777" w:rsidR="00B77A11" w:rsidRDefault="00B77A11" w:rsidP="00BF7B82">
            <w:pPr>
              <w:spacing w:after="120"/>
              <w:rPr>
                <w:rFonts w:eastAsia="Malgun Gothic"/>
                <w:lang w:eastAsia="ko-KR"/>
              </w:rPr>
            </w:pPr>
          </w:p>
        </w:tc>
        <w:tc>
          <w:tcPr>
            <w:tcW w:w="6095" w:type="dxa"/>
          </w:tcPr>
          <w:p w14:paraId="52670C11" w14:textId="77777777" w:rsidR="00B77A11" w:rsidRDefault="00B77A11" w:rsidP="00BF7B82">
            <w:pPr>
              <w:spacing w:after="120"/>
              <w:rPr>
                <w:rFonts w:eastAsia="Malgun Gothic"/>
                <w:lang w:eastAsia="ko-KR"/>
              </w:rPr>
            </w:pPr>
          </w:p>
        </w:tc>
      </w:tr>
      <w:tr w:rsidR="00B77A11" w14:paraId="360AA9F1" w14:textId="77777777" w:rsidTr="00BF7B82">
        <w:tc>
          <w:tcPr>
            <w:tcW w:w="1838" w:type="dxa"/>
          </w:tcPr>
          <w:p w14:paraId="7670A3E3" w14:textId="77777777" w:rsidR="00B77A11" w:rsidRDefault="00B77A11" w:rsidP="00BF7B82">
            <w:pPr>
              <w:spacing w:after="120"/>
            </w:pPr>
          </w:p>
        </w:tc>
        <w:tc>
          <w:tcPr>
            <w:tcW w:w="6095" w:type="dxa"/>
          </w:tcPr>
          <w:p w14:paraId="5A4C23EA" w14:textId="77777777" w:rsidR="00B77A11" w:rsidRDefault="00B77A11" w:rsidP="00BF7B82">
            <w:pPr>
              <w:spacing w:after="120"/>
            </w:pPr>
          </w:p>
        </w:tc>
      </w:tr>
      <w:tr w:rsidR="00B77A11" w14:paraId="28E0C2BD" w14:textId="77777777" w:rsidTr="00BF7B82">
        <w:tc>
          <w:tcPr>
            <w:tcW w:w="1838" w:type="dxa"/>
          </w:tcPr>
          <w:p w14:paraId="52264589" w14:textId="77777777" w:rsidR="00B77A11" w:rsidRDefault="00B77A11" w:rsidP="00BF7B82">
            <w:pPr>
              <w:spacing w:after="120"/>
            </w:pPr>
          </w:p>
        </w:tc>
        <w:tc>
          <w:tcPr>
            <w:tcW w:w="6095" w:type="dxa"/>
          </w:tcPr>
          <w:p w14:paraId="21468172" w14:textId="77777777" w:rsidR="00B77A11" w:rsidRDefault="00B77A11" w:rsidP="00BF7B82">
            <w:pPr>
              <w:spacing w:after="120"/>
              <w:rPr>
                <w:lang w:eastAsia="zh-CN"/>
              </w:rPr>
            </w:pPr>
          </w:p>
        </w:tc>
      </w:tr>
      <w:tr w:rsidR="00B77A11" w14:paraId="04DB371F" w14:textId="77777777" w:rsidTr="00BF7B82">
        <w:tc>
          <w:tcPr>
            <w:tcW w:w="1838" w:type="dxa"/>
          </w:tcPr>
          <w:p w14:paraId="519B9BB5" w14:textId="77777777" w:rsidR="00B77A11" w:rsidRDefault="00B77A11" w:rsidP="00BF7B82">
            <w:pPr>
              <w:spacing w:after="120"/>
            </w:pPr>
          </w:p>
        </w:tc>
        <w:tc>
          <w:tcPr>
            <w:tcW w:w="6095" w:type="dxa"/>
          </w:tcPr>
          <w:p w14:paraId="59B160CB" w14:textId="77777777" w:rsidR="00B77A11" w:rsidRDefault="00B77A11" w:rsidP="00BF7B82">
            <w:pPr>
              <w:spacing w:after="120"/>
            </w:pPr>
          </w:p>
        </w:tc>
      </w:tr>
      <w:tr w:rsidR="00B77A11" w14:paraId="2A3576FB" w14:textId="77777777" w:rsidTr="00BF7B82">
        <w:tc>
          <w:tcPr>
            <w:tcW w:w="1838" w:type="dxa"/>
          </w:tcPr>
          <w:p w14:paraId="68DE5EE6" w14:textId="77777777" w:rsidR="00B77A11" w:rsidRDefault="00B77A11" w:rsidP="00BF7B82">
            <w:pPr>
              <w:spacing w:after="120"/>
            </w:pPr>
          </w:p>
        </w:tc>
        <w:tc>
          <w:tcPr>
            <w:tcW w:w="6095" w:type="dxa"/>
          </w:tcPr>
          <w:p w14:paraId="35EB9810" w14:textId="77777777" w:rsidR="00B77A11" w:rsidRDefault="00B77A11" w:rsidP="00BF7B82">
            <w:pPr>
              <w:spacing w:after="120"/>
            </w:pPr>
          </w:p>
        </w:tc>
      </w:tr>
      <w:tr w:rsidR="00B77A11" w14:paraId="43A93809" w14:textId="77777777" w:rsidTr="00BF7B82">
        <w:tc>
          <w:tcPr>
            <w:tcW w:w="1838" w:type="dxa"/>
          </w:tcPr>
          <w:p w14:paraId="60223481" w14:textId="77777777" w:rsidR="00B77A11" w:rsidRDefault="00B77A11" w:rsidP="00BF7B82">
            <w:pPr>
              <w:spacing w:after="120"/>
            </w:pPr>
          </w:p>
        </w:tc>
        <w:tc>
          <w:tcPr>
            <w:tcW w:w="6095" w:type="dxa"/>
          </w:tcPr>
          <w:p w14:paraId="1B4510FB" w14:textId="77777777" w:rsidR="00B77A11" w:rsidRDefault="00B77A11" w:rsidP="00BF7B82">
            <w:pPr>
              <w:spacing w:after="120"/>
            </w:pPr>
          </w:p>
        </w:tc>
      </w:tr>
      <w:tr w:rsidR="00B77A11" w14:paraId="264BA62A" w14:textId="77777777" w:rsidTr="00BF7B82">
        <w:tc>
          <w:tcPr>
            <w:tcW w:w="1838" w:type="dxa"/>
          </w:tcPr>
          <w:p w14:paraId="4DD79CB7" w14:textId="77777777" w:rsidR="00B77A11" w:rsidRDefault="00B77A11" w:rsidP="00BF7B82">
            <w:pPr>
              <w:spacing w:after="120"/>
              <w:rPr>
                <w:lang w:eastAsia="zh-CN"/>
              </w:rPr>
            </w:pPr>
          </w:p>
        </w:tc>
        <w:tc>
          <w:tcPr>
            <w:tcW w:w="6095" w:type="dxa"/>
          </w:tcPr>
          <w:p w14:paraId="63A40473" w14:textId="77777777" w:rsidR="00B77A11" w:rsidRDefault="00B77A11" w:rsidP="00BF7B82">
            <w:pPr>
              <w:spacing w:after="120"/>
              <w:rPr>
                <w:lang w:eastAsia="zh-CN"/>
              </w:rPr>
            </w:pPr>
          </w:p>
        </w:tc>
      </w:tr>
      <w:tr w:rsidR="00B77A11" w14:paraId="56F7B8F0" w14:textId="77777777" w:rsidTr="00BF7B82">
        <w:tc>
          <w:tcPr>
            <w:tcW w:w="1838" w:type="dxa"/>
          </w:tcPr>
          <w:p w14:paraId="3F3272CC" w14:textId="77777777" w:rsidR="00B77A11" w:rsidRDefault="00B77A11" w:rsidP="00BF7B82">
            <w:pPr>
              <w:spacing w:after="120"/>
              <w:rPr>
                <w:lang w:eastAsia="zh-CN"/>
              </w:rPr>
            </w:pPr>
          </w:p>
        </w:tc>
        <w:tc>
          <w:tcPr>
            <w:tcW w:w="6095" w:type="dxa"/>
          </w:tcPr>
          <w:p w14:paraId="0D6AD846" w14:textId="77777777" w:rsidR="00B77A11" w:rsidRDefault="00B77A11" w:rsidP="00BF7B82">
            <w:pPr>
              <w:spacing w:after="120"/>
              <w:rPr>
                <w:lang w:eastAsia="zh-CN"/>
              </w:rPr>
            </w:pPr>
          </w:p>
        </w:tc>
      </w:tr>
      <w:tr w:rsidR="00B77A11" w14:paraId="5DFBD399" w14:textId="77777777" w:rsidTr="00BF7B82">
        <w:tc>
          <w:tcPr>
            <w:tcW w:w="1838" w:type="dxa"/>
          </w:tcPr>
          <w:p w14:paraId="787EC246" w14:textId="77777777" w:rsidR="00B77A11" w:rsidRDefault="00B77A11" w:rsidP="00BF7B82">
            <w:pPr>
              <w:spacing w:after="120"/>
              <w:rPr>
                <w:lang w:eastAsia="zh-CN"/>
              </w:rPr>
            </w:pPr>
          </w:p>
        </w:tc>
        <w:tc>
          <w:tcPr>
            <w:tcW w:w="6095" w:type="dxa"/>
          </w:tcPr>
          <w:p w14:paraId="31EFF7A2" w14:textId="77777777" w:rsidR="00B77A11" w:rsidRDefault="00B77A11" w:rsidP="00BF7B8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w:t>
      </w:r>
      <w:proofErr w:type="gramStart"/>
      <w:r>
        <w:rPr>
          <w:lang w:val="en-US"/>
        </w:rPr>
        <w:t>In particular a</w:t>
      </w:r>
      <w:proofErr w:type="gramEnd"/>
      <w:r>
        <w:rPr>
          <w:lang w:val="en-US"/>
        </w:rPr>
        <w:t xml:space="preserve">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BF7B82">
        <w:tc>
          <w:tcPr>
            <w:tcW w:w="1838" w:type="dxa"/>
            <w:shd w:val="clear" w:color="auto" w:fill="D9D9D9"/>
          </w:tcPr>
          <w:p w14:paraId="4B1C055A" w14:textId="77777777" w:rsidR="00B77A11" w:rsidRDefault="00B77A11" w:rsidP="00BF7B82">
            <w:pPr>
              <w:spacing w:after="120"/>
              <w:rPr>
                <w:b/>
                <w:bCs/>
              </w:rPr>
            </w:pPr>
            <w:r>
              <w:rPr>
                <w:b/>
                <w:bCs/>
              </w:rPr>
              <w:t>Company</w:t>
            </w:r>
          </w:p>
        </w:tc>
        <w:tc>
          <w:tcPr>
            <w:tcW w:w="6095" w:type="dxa"/>
            <w:shd w:val="clear" w:color="auto" w:fill="D9D9D9"/>
          </w:tcPr>
          <w:p w14:paraId="0D0619FA" w14:textId="77777777" w:rsidR="00B77A11" w:rsidRDefault="00B77A11" w:rsidP="00BF7B82">
            <w:pPr>
              <w:spacing w:after="120"/>
              <w:rPr>
                <w:b/>
                <w:bCs/>
              </w:rPr>
            </w:pPr>
            <w:r>
              <w:rPr>
                <w:b/>
                <w:bCs/>
              </w:rPr>
              <w:t>Answer</w:t>
            </w:r>
          </w:p>
        </w:tc>
      </w:tr>
      <w:tr w:rsidR="00B77A11" w14:paraId="1A2A6EC3" w14:textId="77777777" w:rsidTr="00BF7B82">
        <w:tc>
          <w:tcPr>
            <w:tcW w:w="1838" w:type="dxa"/>
          </w:tcPr>
          <w:p w14:paraId="4F47DE3B" w14:textId="77777777" w:rsidR="00B77A11" w:rsidRDefault="00B77A11" w:rsidP="00BF7B82">
            <w:pPr>
              <w:spacing w:after="120"/>
            </w:pPr>
          </w:p>
        </w:tc>
        <w:tc>
          <w:tcPr>
            <w:tcW w:w="6095" w:type="dxa"/>
          </w:tcPr>
          <w:p w14:paraId="13255494" w14:textId="77777777" w:rsidR="00B77A11" w:rsidRDefault="00B77A11" w:rsidP="00BF7B82">
            <w:pPr>
              <w:spacing w:after="120"/>
            </w:pPr>
          </w:p>
        </w:tc>
      </w:tr>
      <w:tr w:rsidR="00B77A11" w14:paraId="750F6F8F" w14:textId="77777777" w:rsidTr="00BF7B82">
        <w:tc>
          <w:tcPr>
            <w:tcW w:w="1838" w:type="dxa"/>
          </w:tcPr>
          <w:p w14:paraId="68E7DCC5" w14:textId="77777777" w:rsidR="00B77A11" w:rsidRDefault="00B77A11" w:rsidP="00BF7B82">
            <w:pPr>
              <w:spacing w:after="120"/>
              <w:rPr>
                <w:rFonts w:eastAsia="Malgun Gothic"/>
                <w:lang w:eastAsia="ko-KR"/>
              </w:rPr>
            </w:pPr>
          </w:p>
        </w:tc>
        <w:tc>
          <w:tcPr>
            <w:tcW w:w="6095" w:type="dxa"/>
          </w:tcPr>
          <w:p w14:paraId="220D58AB" w14:textId="77777777" w:rsidR="00B77A11" w:rsidRDefault="00B77A11" w:rsidP="00BF7B82">
            <w:pPr>
              <w:spacing w:after="120"/>
              <w:rPr>
                <w:rFonts w:eastAsia="Malgun Gothic"/>
                <w:lang w:eastAsia="ko-KR"/>
              </w:rPr>
            </w:pPr>
          </w:p>
        </w:tc>
      </w:tr>
      <w:tr w:rsidR="00B77A11" w14:paraId="3CC05EBC" w14:textId="77777777" w:rsidTr="00BF7B82">
        <w:tc>
          <w:tcPr>
            <w:tcW w:w="1838" w:type="dxa"/>
          </w:tcPr>
          <w:p w14:paraId="6C37C02D" w14:textId="77777777" w:rsidR="00B77A11" w:rsidRDefault="00B77A11" w:rsidP="00BF7B82">
            <w:pPr>
              <w:spacing w:after="120"/>
              <w:rPr>
                <w:rFonts w:eastAsia="Malgun Gothic"/>
                <w:lang w:eastAsia="zh-CN"/>
              </w:rPr>
            </w:pPr>
          </w:p>
        </w:tc>
        <w:tc>
          <w:tcPr>
            <w:tcW w:w="6095" w:type="dxa"/>
          </w:tcPr>
          <w:p w14:paraId="31D468AC" w14:textId="77777777" w:rsidR="00B77A11" w:rsidRPr="00DD753D" w:rsidRDefault="00B77A11" w:rsidP="00BF7B82">
            <w:pPr>
              <w:spacing w:after="120"/>
              <w:rPr>
                <w:rFonts w:eastAsia="DengXian"/>
                <w:lang w:eastAsia="zh-CN"/>
              </w:rPr>
            </w:pPr>
          </w:p>
        </w:tc>
      </w:tr>
      <w:tr w:rsidR="00B77A11" w14:paraId="11B10345" w14:textId="77777777" w:rsidTr="00BF7B82">
        <w:tc>
          <w:tcPr>
            <w:tcW w:w="1838" w:type="dxa"/>
          </w:tcPr>
          <w:p w14:paraId="3AFF1A61" w14:textId="77777777" w:rsidR="00B77A11" w:rsidRDefault="00B77A11" w:rsidP="00BF7B82">
            <w:pPr>
              <w:spacing w:after="120"/>
              <w:rPr>
                <w:lang w:val="en-US"/>
              </w:rPr>
            </w:pPr>
          </w:p>
        </w:tc>
        <w:tc>
          <w:tcPr>
            <w:tcW w:w="6095" w:type="dxa"/>
          </w:tcPr>
          <w:p w14:paraId="67A3CB09" w14:textId="77777777" w:rsidR="00B77A11" w:rsidRPr="00DD753D" w:rsidRDefault="00B77A11" w:rsidP="00BF7B82">
            <w:pPr>
              <w:spacing w:after="120"/>
              <w:rPr>
                <w:lang w:val="en-US"/>
              </w:rPr>
            </w:pPr>
          </w:p>
        </w:tc>
      </w:tr>
      <w:tr w:rsidR="00B77A11" w14:paraId="3C1F9495" w14:textId="77777777" w:rsidTr="00BF7B82">
        <w:tc>
          <w:tcPr>
            <w:tcW w:w="1838" w:type="dxa"/>
          </w:tcPr>
          <w:p w14:paraId="4ED7303A" w14:textId="77777777" w:rsidR="00B77A11" w:rsidRDefault="00B77A11" w:rsidP="00BF7B82">
            <w:pPr>
              <w:spacing w:after="120"/>
            </w:pPr>
          </w:p>
        </w:tc>
        <w:tc>
          <w:tcPr>
            <w:tcW w:w="6095" w:type="dxa"/>
          </w:tcPr>
          <w:p w14:paraId="306209D2" w14:textId="77777777" w:rsidR="00B77A11" w:rsidRDefault="00B77A11" w:rsidP="00BF7B82">
            <w:pPr>
              <w:spacing w:after="120"/>
            </w:pPr>
          </w:p>
        </w:tc>
      </w:tr>
      <w:tr w:rsidR="00B77A11" w14:paraId="5CED5059" w14:textId="77777777" w:rsidTr="00BF7B82">
        <w:tc>
          <w:tcPr>
            <w:tcW w:w="1838" w:type="dxa"/>
          </w:tcPr>
          <w:p w14:paraId="2293E30F" w14:textId="77777777" w:rsidR="00B77A11" w:rsidRDefault="00B77A11" w:rsidP="00BF7B82">
            <w:pPr>
              <w:spacing w:after="120"/>
              <w:rPr>
                <w:rFonts w:eastAsia="Malgun Gothic"/>
                <w:lang w:eastAsia="ko-KR"/>
              </w:rPr>
            </w:pPr>
          </w:p>
        </w:tc>
        <w:tc>
          <w:tcPr>
            <w:tcW w:w="6095" w:type="dxa"/>
          </w:tcPr>
          <w:p w14:paraId="1E7A8281" w14:textId="77777777" w:rsidR="00B77A11" w:rsidRDefault="00B77A11" w:rsidP="00BF7B82">
            <w:pPr>
              <w:spacing w:after="120"/>
              <w:rPr>
                <w:rFonts w:eastAsia="Malgun Gothic"/>
                <w:lang w:eastAsia="ko-KR"/>
              </w:rPr>
            </w:pPr>
          </w:p>
        </w:tc>
      </w:tr>
      <w:tr w:rsidR="00B77A11" w14:paraId="2D171538" w14:textId="77777777" w:rsidTr="00BF7B82">
        <w:tc>
          <w:tcPr>
            <w:tcW w:w="1838" w:type="dxa"/>
          </w:tcPr>
          <w:p w14:paraId="17305D19" w14:textId="77777777" w:rsidR="00B77A11" w:rsidRDefault="00B77A11" w:rsidP="00BF7B82">
            <w:pPr>
              <w:spacing w:after="120"/>
            </w:pPr>
          </w:p>
        </w:tc>
        <w:tc>
          <w:tcPr>
            <w:tcW w:w="6095" w:type="dxa"/>
          </w:tcPr>
          <w:p w14:paraId="357037BD" w14:textId="77777777" w:rsidR="00B77A11" w:rsidRDefault="00B77A11" w:rsidP="00BF7B82">
            <w:pPr>
              <w:spacing w:after="120"/>
            </w:pPr>
          </w:p>
        </w:tc>
      </w:tr>
      <w:tr w:rsidR="00B77A11" w14:paraId="38408FA0" w14:textId="77777777" w:rsidTr="00BF7B82">
        <w:tc>
          <w:tcPr>
            <w:tcW w:w="1838" w:type="dxa"/>
          </w:tcPr>
          <w:p w14:paraId="6995CABA" w14:textId="77777777" w:rsidR="00B77A11" w:rsidRDefault="00B77A11" w:rsidP="00BF7B82">
            <w:pPr>
              <w:spacing w:after="120"/>
            </w:pPr>
          </w:p>
        </w:tc>
        <w:tc>
          <w:tcPr>
            <w:tcW w:w="6095" w:type="dxa"/>
          </w:tcPr>
          <w:p w14:paraId="328F230E" w14:textId="77777777" w:rsidR="00B77A11" w:rsidRDefault="00B77A11" w:rsidP="00BF7B82">
            <w:pPr>
              <w:spacing w:after="120"/>
              <w:rPr>
                <w:lang w:eastAsia="zh-CN"/>
              </w:rPr>
            </w:pPr>
          </w:p>
        </w:tc>
      </w:tr>
      <w:tr w:rsidR="00B77A11" w14:paraId="18E6BE10" w14:textId="77777777" w:rsidTr="00BF7B82">
        <w:tc>
          <w:tcPr>
            <w:tcW w:w="1838" w:type="dxa"/>
          </w:tcPr>
          <w:p w14:paraId="1FD2C82A" w14:textId="77777777" w:rsidR="00B77A11" w:rsidRDefault="00B77A11" w:rsidP="00BF7B82">
            <w:pPr>
              <w:spacing w:after="120"/>
            </w:pPr>
          </w:p>
        </w:tc>
        <w:tc>
          <w:tcPr>
            <w:tcW w:w="6095" w:type="dxa"/>
          </w:tcPr>
          <w:p w14:paraId="7455C155" w14:textId="77777777" w:rsidR="00B77A11" w:rsidRDefault="00B77A11" w:rsidP="00BF7B82">
            <w:pPr>
              <w:spacing w:after="120"/>
            </w:pPr>
          </w:p>
        </w:tc>
      </w:tr>
      <w:tr w:rsidR="00B77A11" w14:paraId="05282412" w14:textId="77777777" w:rsidTr="00BF7B82">
        <w:tc>
          <w:tcPr>
            <w:tcW w:w="1838" w:type="dxa"/>
          </w:tcPr>
          <w:p w14:paraId="671619BE" w14:textId="77777777" w:rsidR="00B77A11" w:rsidRDefault="00B77A11" w:rsidP="00BF7B82">
            <w:pPr>
              <w:spacing w:after="120"/>
            </w:pPr>
          </w:p>
        </w:tc>
        <w:tc>
          <w:tcPr>
            <w:tcW w:w="6095" w:type="dxa"/>
          </w:tcPr>
          <w:p w14:paraId="55E67520" w14:textId="77777777" w:rsidR="00B77A11" w:rsidRDefault="00B77A11" w:rsidP="00BF7B82">
            <w:pPr>
              <w:spacing w:after="120"/>
            </w:pPr>
          </w:p>
        </w:tc>
      </w:tr>
      <w:tr w:rsidR="00B77A11" w14:paraId="2C8DED83" w14:textId="77777777" w:rsidTr="00BF7B82">
        <w:tc>
          <w:tcPr>
            <w:tcW w:w="1838" w:type="dxa"/>
          </w:tcPr>
          <w:p w14:paraId="6FFC790A" w14:textId="77777777" w:rsidR="00B77A11" w:rsidRDefault="00B77A11" w:rsidP="00BF7B82">
            <w:pPr>
              <w:spacing w:after="120"/>
            </w:pPr>
          </w:p>
        </w:tc>
        <w:tc>
          <w:tcPr>
            <w:tcW w:w="6095" w:type="dxa"/>
          </w:tcPr>
          <w:p w14:paraId="43BC5ECE" w14:textId="77777777" w:rsidR="00B77A11" w:rsidRDefault="00B77A11" w:rsidP="00BF7B82">
            <w:pPr>
              <w:spacing w:after="120"/>
            </w:pPr>
          </w:p>
        </w:tc>
      </w:tr>
      <w:tr w:rsidR="00B77A11" w14:paraId="3C86C521" w14:textId="77777777" w:rsidTr="00BF7B82">
        <w:tc>
          <w:tcPr>
            <w:tcW w:w="1838" w:type="dxa"/>
          </w:tcPr>
          <w:p w14:paraId="5BDD8AE9" w14:textId="77777777" w:rsidR="00B77A11" w:rsidRDefault="00B77A11" w:rsidP="00BF7B82">
            <w:pPr>
              <w:spacing w:after="120"/>
              <w:rPr>
                <w:lang w:eastAsia="zh-CN"/>
              </w:rPr>
            </w:pPr>
          </w:p>
        </w:tc>
        <w:tc>
          <w:tcPr>
            <w:tcW w:w="6095" w:type="dxa"/>
          </w:tcPr>
          <w:p w14:paraId="5D27020E" w14:textId="77777777" w:rsidR="00B77A11" w:rsidRDefault="00B77A11" w:rsidP="00BF7B82">
            <w:pPr>
              <w:spacing w:after="120"/>
              <w:rPr>
                <w:lang w:eastAsia="zh-CN"/>
              </w:rPr>
            </w:pPr>
          </w:p>
        </w:tc>
      </w:tr>
      <w:tr w:rsidR="00B77A11" w14:paraId="0887F5BA" w14:textId="77777777" w:rsidTr="00BF7B82">
        <w:tc>
          <w:tcPr>
            <w:tcW w:w="1838" w:type="dxa"/>
          </w:tcPr>
          <w:p w14:paraId="19454800" w14:textId="77777777" w:rsidR="00B77A11" w:rsidRDefault="00B77A11" w:rsidP="00BF7B82">
            <w:pPr>
              <w:spacing w:after="120"/>
              <w:rPr>
                <w:lang w:eastAsia="zh-CN"/>
              </w:rPr>
            </w:pPr>
          </w:p>
        </w:tc>
        <w:tc>
          <w:tcPr>
            <w:tcW w:w="6095" w:type="dxa"/>
          </w:tcPr>
          <w:p w14:paraId="11E7E6A5" w14:textId="77777777" w:rsidR="00B77A11" w:rsidRDefault="00B77A11" w:rsidP="00BF7B82">
            <w:pPr>
              <w:spacing w:after="120"/>
              <w:rPr>
                <w:lang w:eastAsia="zh-CN"/>
              </w:rPr>
            </w:pPr>
          </w:p>
        </w:tc>
      </w:tr>
      <w:tr w:rsidR="00B77A11" w14:paraId="7FC9ED47" w14:textId="77777777" w:rsidTr="00BF7B82">
        <w:tc>
          <w:tcPr>
            <w:tcW w:w="1838" w:type="dxa"/>
          </w:tcPr>
          <w:p w14:paraId="62EA935F" w14:textId="77777777" w:rsidR="00B77A11" w:rsidRDefault="00B77A11" w:rsidP="00BF7B82">
            <w:pPr>
              <w:spacing w:after="120"/>
              <w:rPr>
                <w:lang w:eastAsia="zh-CN"/>
              </w:rPr>
            </w:pPr>
          </w:p>
        </w:tc>
        <w:tc>
          <w:tcPr>
            <w:tcW w:w="6095" w:type="dxa"/>
          </w:tcPr>
          <w:p w14:paraId="5C248332" w14:textId="77777777" w:rsidR="00B77A11" w:rsidRDefault="00B77A11" w:rsidP="00BF7B82">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lastRenderedPageBreak/>
        <w:t xml:space="preserve">If a UE resumes or re-establishes in a </w:t>
      </w:r>
      <w:proofErr w:type="spellStart"/>
      <w:r>
        <w:rPr>
          <w:lang w:val="en-US"/>
        </w:rPr>
        <w:t>gNB</w:t>
      </w:r>
      <w:proofErr w:type="spellEnd"/>
      <w:r>
        <w:rPr>
          <w:lang w:val="en-US"/>
        </w:rPr>
        <w:t xml:space="preserve">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1" w:name="_Toc60776748"/>
      <w:bookmarkStart w:id="2"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1"/>
      <w:bookmarkEnd w:id="2"/>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w:t>
      </w:r>
      <w:proofErr w:type="spellStart"/>
      <w:r w:rsidRPr="00860DD9">
        <w:rPr>
          <w:rFonts w:eastAsia="Times New Roman"/>
          <w:highlight w:val="yellow"/>
        </w:rPr>
        <w:t>fallback</w:t>
      </w:r>
      <w:proofErr w:type="spellEnd"/>
      <w:r w:rsidRPr="00860DD9">
        <w:rPr>
          <w:rFonts w:eastAsia="Times New Roman"/>
          <w:highlight w:val="yellow"/>
        </w:rPr>
        <w:t xml:space="preserve">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BF7B82">
        <w:tc>
          <w:tcPr>
            <w:tcW w:w="1838" w:type="dxa"/>
            <w:shd w:val="clear" w:color="auto" w:fill="D9D9D9"/>
          </w:tcPr>
          <w:p w14:paraId="09F98201" w14:textId="77777777" w:rsidR="00B77A11" w:rsidRDefault="00B77A11" w:rsidP="00BF7B82">
            <w:pPr>
              <w:spacing w:after="120"/>
              <w:rPr>
                <w:b/>
                <w:bCs/>
              </w:rPr>
            </w:pPr>
            <w:r>
              <w:rPr>
                <w:b/>
                <w:bCs/>
              </w:rPr>
              <w:t>Company</w:t>
            </w:r>
          </w:p>
        </w:tc>
        <w:tc>
          <w:tcPr>
            <w:tcW w:w="6095" w:type="dxa"/>
            <w:shd w:val="clear" w:color="auto" w:fill="D9D9D9"/>
          </w:tcPr>
          <w:p w14:paraId="43FD0A9F" w14:textId="77777777" w:rsidR="00B77A11" w:rsidRDefault="00B77A11" w:rsidP="00BF7B82">
            <w:pPr>
              <w:spacing w:after="120"/>
              <w:rPr>
                <w:b/>
                <w:bCs/>
              </w:rPr>
            </w:pPr>
            <w:r>
              <w:rPr>
                <w:b/>
                <w:bCs/>
              </w:rPr>
              <w:t>Answer</w:t>
            </w:r>
          </w:p>
        </w:tc>
      </w:tr>
      <w:tr w:rsidR="00B77A11" w14:paraId="540587D6" w14:textId="77777777" w:rsidTr="00BF7B82">
        <w:tc>
          <w:tcPr>
            <w:tcW w:w="1838" w:type="dxa"/>
          </w:tcPr>
          <w:p w14:paraId="13C2FB22" w14:textId="77777777" w:rsidR="00B77A11" w:rsidRDefault="00B77A11" w:rsidP="00BF7B82">
            <w:pPr>
              <w:spacing w:after="120"/>
            </w:pPr>
          </w:p>
        </w:tc>
        <w:tc>
          <w:tcPr>
            <w:tcW w:w="6095" w:type="dxa"/>
          </w:tcPr>
          <w:p w14:paraId="3A290DDC" w14:textId="77777777" w:rsidR="00B77A11" w:rsidRDefault="00B77A11" w:rsidP="00BF7B82">
            <w:pPr>
              <w:spacing w:after="120"/>
            </w:pPr>
          </w:p>
        </w:tc>
      </w:tr>
      <w:tr w:rsidR="00B77A11" w14:paraId="50CA11A6" w14:textId="77777777" w:rsidTr="00BF7B82">
        <w:tc>
          <w:tcPr>
            <w:tcW w:w="1838" w:type="dxa"/>
          </w:tcPr>
          <w:p w14:paraId="7339118D" w14:textId="77777777" w:rsidR="00B77A11" w:rsidRDefault="00B77A11" w:rsidP="00BF7B82">
            <w:pPr>
              <w:spacing w:after="120"/>
              <w:rPr>
                <w:rFonts w:eastAsia="Malgun Gothic"/>
                <w:lang w:eastAsia="ko-KR"/>
              </w:rPr>
            </w:pPr>
          </w:p>
        </w:tc>
        <w:tc>
          <w:tcPr>
            <w:tcW w:w="6095" w:type="dxa"/>
          </w:tcPr>
          <w:p w14:paraId="6F63553E" w14:textId="77777777" w:rsidR="00B77A11" w:rsidRDefault="00B77A11" w:rsidP="00BF7B82">
            <w:pPr>
              <w:spacing w:after="120"/>
              <w:rPr>
                <w:rFonts w:eastAsia="Malgun Gothic"/>
                <w:lang w:eastAsia="ko-KR"/>
              </w:rPr>
            </w:pPr>
          </w:p>
        </w:tc>
      </w:tr>
      <w:tr w:rsidR="00B77A11" w14:paraId="1120C9B7" w14:textId="77777777" w:rsidTr="00BF7B82">
        <w:tc>
          <w:tcPr>
            <w:tcW w:w="1838" w:type="dxa"/>
          </w:tcPr>
          <w:p w14:paraId="7313FD52" w14:textId="77777777" w:rsidR="00B77A11" w:rsidRDefault="00B77A11" w:rsidP="00BF7B82">
            <w:pPr>
              <w:spacing w:after="120"/>
              <w:rPr>
                <w:rFonts w:eastAsia="Malgun Gothic"/>
                <w:lang w:eastAsia="zh-CN"/>
              </w:rPr>
            </w:pPr>
          </w:p>
        </w:tc>
        <w:tc>
          <w:tcPr>
            <w:tcW w:w="6095" w:type="dxa"/>
          </w:tcPr>
          <w:p w14:paraId="60EA21D5" w14:textId="77777777" w:rsidR="00B77A11" w:rsidRPr="00DD753D" w:rsidRDefault="00B77A11" w:rsidP="00BF7B82">
            <w:pPr>
              <w:spacing w:after="120"/>
              <w:rPr>
                <w:rFonts w:eastAsia="DengXian"/>
                <w:lang w:eastAsia="zh-CN"/>
              </w:rPr>
            </w:pPr>
          </w:p>
        </w:tc>
      </w:tr>
      <w:tr w:rsidR="00B77A11" w14:paraId="41841AF9" w14:textId="77777777" w:rsidTr="00BF7B82">
        <w:tc>
          <w:tcPr>
            <w:tcW w:w="1838" w:type="dxa"/>
          </w:tcPr>
          <w:p w14:paraId="31E72316" w14:textId="77777777" w:rsidR="00B77A11" w:rsidRDefault="00B77A11" w:rsidP="00BF7B82">
            <w:pPr>
              <w:spacing w:after="120"/>
              <w:rPr>
                <w:lang w:val="en-US"/>
              </w:rPr>
            </w:pPr>
          </w:p>
        </w:tc>
        <w:tc>
          <w:tcPr>
            <w:tcW w:w="6095" w:type="dxa"/>
          </w:tcPr>
          <w:p w14:paraId="0B39BFEA" w14:textId="77777777" w:rsidR="00B77A11" w:rsidRPr="00DD753D" w:rsidRDefault="00B77A11" w:rsidP="00BF7B82">
            <w:pPr>
              <w:spacing w:after="120"/>
              <w:rPr>
                <w:lang w:val="en-US"/>
              </w:rPr>
            </w:pPr>
          </w:p>
        </w:tc>
      </w:tr>
      <w:tr w:rsidR="00B77A11" w14:paraId="11068F2A" w14:textId="77777777" w:rsidTr="00BF7B82">
        <w:tc>
          <w:tcPr>
            <w:tcW w:w="1838" w:type="dxa"/>
          </w:tcPr>
          <w:p w14:paraId="040B8752" w14:textId="77777777" w:rsidR="00B77A11" w:rsidRDefault="00B77A11" w:rsidP="00BF7B82">
            <w:pPr>
              <w:spacing w:after="120"/>
            </w:pPr>
          </w:p>
        </w:tc>
        <w:tc>
          <w:tcPr>
            <w:tcW w:w="6095" w:type="dxa"/>
          </w:tcPr>
          <w:p w14:paraId="4953057E" w14:textId="77777777" w:rsidR="00B77A11" w:rsidRDefault="00B77A11" w:rsidP="00BF7B82">
            <w:pPr>
              <w:spacing w:after="120"/>
            </w:pPr>
          </w:p>
        </w:tc>
      </w:tr>
      <w:tr w:rsidR="00B77A11" w14:paraId="7AB2498F" w14:textId="77777777" w:rsidTr="00BF7B82">
        <w:tc>
          <w:tcPr>
            <w:tcW w:w="1838" w:type="dxa"/>
          </w:tcPr>
          <w:p w14:paraId="43AEF04F" w14:textId="77777777" w:rsidR="00B77A11" w:rsidRDefault="00B77A11" w:rsidP="00BF7B82">
            <w:pPr>
              <w:spacing w:after="120"/>
              <w:rPr>
                <w:rFonts w:eastAsia="Malgun Gothic"/>
                <w:lang w:eastAsia="ko-KR"/>
              </w:rPr>
            </w:pPr>
          </w:p>
        </w:tc>
        <w:tc>
          <w:tcPr>
            <w:tcW w:w="6095" w:type="dxa"/>
          </w:tcPr>
          <w:p w14:paraId="2945ED6D" w14:textId="77777777" w:rsidR="00B77A11" w:rsidRDefault="00B77A11" w:rsidP="00BF7B82">
            <w:pPr>
              <w:spacing w:after="120"/>
              <w:rPr>
                <w:rFonts w:eastAsia="Malgun Gothic"/>
                <w:lang w:eastAsia="ko-KR"/>
              </w:rPr>
            </w:pPr>
          </w:p>
        </w:tc>
      </w:tr>
      <w:tr w:rsidR="00B77A11" w14:paraId="2A0BB8B4" w14:textId="77777777" w:rsidTr="00BF7B82">
        <w:tc>
          <w:tcPr>
            <w:tcW w:w="1838" w:type="dxa"/>
          </w:tcPr>
          <w:p w14:paraId="24BCE06C" w14:textId="77777777" w:rsidR="00B77A11" w:rsidRDefault="00B77A11" w:rsidP="00BF7B82">
            <w:pPr>
              <w:spacing w:after="120"/>
            </w:pPr>
          </w:p>
        </w:tc>
        <w:tc>
          <w:tcPr>
            <w:tcW w:w="6095" w:type="dxa"/>
          </w:tcPr>
          <w:p w14:paraId="7CFA513E" w14:textId="77777777" w:rsidR="00B77A11" w:rsidRDefault="00B77A11" w:rsidP="00BF7B82">
            <w:pPr>
              <w:spacing w:after="120"/>
            </w:pPr>
          </w:p>
        </w:tc>
      </w:tr>
      <w:tr w:rsidR="00B77A11" w14:paraId="211F34DF" w14:textId="77777777" w:rsidTr="00BF7B82">
        <w:tc>
          <w:tcPr>
            <w:tcW w:w="1838" w:type="dxa"/>
          </w:tcPr>
          <w:p w14:paraId="1EB98A90" w14:textId="77777777" w:rsidR="00B77A11" w:rsidRDefault="00B77A11" w:rsidP="00BF7B82">
            <w:pPr>
              <w:spacing w:after="120"/>
            </w:pPr>
          </w:p>
        </w:tc>
        <w:tc>
          <w:tcPr>
            <w:tcW w:w="6095" w:type="dxa"/>
          </w:tcPr>
          <w:p w14:paraId="4F05807E" w14:textId="77777777" w:rsidR="00B77A11" w:rsidRDefault="00B77A11" w:rsidP="00BF7B82">
            <w:pPr>
              <w:spacing w:after="120"/>
              <w:rPr>
                <w:lang w:eastAsia="zh-CN"/>
              </w:rPr>
            </w:pPr>
          </w:p>
        </w:tc>
      </w:tr>
      <w:tr w:rsidR="00B77A11" w14:paraId="37EEDB6B" w14:textId="77777777" w:rsidTr="00BF7B82">
        <w:tc>
          <w:tcPr>
            <w:tcW w:w="1838" w:type="dxa"/>
          </w:tcPr>
          <w:p w14:paraId="453C1359" w14:textId="77777777" w:rsidR="00B77A11" w:rsidRDefault="00B77A11" w:rsidP="00BF7B82">
            <w:pPr>
              <w:spacing w:after="120"/>
            </w:pPr>
          </w:p>
        </w:tc>
        <w:tc>
          <w:tcPr>
            <w:tcW w:w="6095" w:type="dxa"/>
          </w:tcPr>
          <w:p w14:paraId="2CBF09FC" w14:textId="77777777" w:rsidR="00B77A11" w:rsidRDefault="00B77A11" w:rsidP="00BF7B82">
            <w:pPr>
              <w:spacing w:after="120"/>
            </w:pPr>
          </w:p>
        </w:tc>
      </w:tr>
      <w:tr w:rsidR="00B77A11" w14:paraId="1794DCAE" w14:textId="77777777" w:rsidTr="00BF7B82">
        <w:tc>
          <w:tcPr>
            <w:tcW w:w="1838" w:type="dxa"/>
          </w:tcPr>
          <w:p w14:paraId="61646DAA" w14:textId="77777777" w:rsidR="00B77A11" w:rsidRDefault="00B77A11" w:rsidP="00BF7B82">
            <w:pPr>
              <w:spacing w:after="120"/>
            </w:pPr>
          </w:p>
        </w:tc>
        <w:tc>
          <w:tcPr>
            <w:tcW w:w="6095" w:type="dxa"/>
          </w:tcPr>
          <w:p w14:paraId="64CFEBC5" w14:textId="77777777" w:rsidR="00B77A11" w:rsidRDefault="00B77A11" w:rsidP="00BF7B82">
            <w:pPr>
              <w:spacing w:after="120"/>
            </w:pPr>
          </w:p>
        </w:tc>
      </w:tr>
      <w:tr w:rsidR="00B77A11" w14:paraId="04FCC58E" w14:textId="77777777" w:rsidTr="00BF7B82">
        <w:tc>
          <w:tcPr>
            <w:tcW w:w="1838" w:type="dxa"/>
          </w:tcPr>
          <w:p w14:paraId="44E2B935" w14:textId="77777777" w:rsidR="00B77A11" w:rsidRDefault="00B77A11" w:rsidP="00BF7B82">
            <w:pPr>
              <w:spacing w:after="120"/>
            </w:pPr>
          </w:p>
        </w:tc>
        <w:tc>
          <w:tcPr>
            <w:tcW w:w="6095" w:type="dxa"/>
          </w:tcPr>
          <w:p w14:paraId="48E7F05C" w14:textId="77777777" w:rsidR="00B77A11" w:rsidRDefault="00B77A11" w:rsidP="00BF7B82">
            <w:pPr>
              <w:spacing w:after="120"/>
            </w:pPr>
          </w:p>
        </w:tc>
      </w:tr>
      <w:tr w:rsidR="00B77A11" w14:paraId="5CD55EF3" w14:textId="77777777" w:rsidTr="00BF7B82">
        <w:tc>
          <w:tcPr>
            <w:tcW w:w="1838" w:type="dxa"/>
          </w:tcPr>
          <w:p w14:paraId="70337AAD" w14:textId="77777777" w:rsidR="00B77A11" w:rsidRDefault="00B77A11" w:rsidP="00BF7B82">
            <w:pPr>
              <w:spacing w:after="120"/>
              <w:rPr>
                <w:lang w:eastAsia="zh-CN"/>
              </w:rPr>
            </w:pPr>
          </w:p>
        </w:tc>
        <w:tc>
          <w:tcPr>
            <w:tcW w:w="6095" w:type="dxa"/>
          </w:tcPr>
          <w:p w14:paraId="01F6317E" w14:textId="77777777" w:rsidR="00B77A11" w:rsidRDefault="00B77A11" w:rsidP="00BF7B82">
            <w:pPr>
              <w:spacing w:after="120"/>
              <w:rPr>
                <w:lang w:eastAsia="zh-CN"/>
              </w:rPr>
            </w:pPr>
          </w:p>
        </w:tc>
      </w:tr>
      <w:tr w:rsidR="00B77A11" w14:paraId="482ED63A" w14:textId="77777777" w:rsidTr="00BF7B82">
        <w:tc>
          <w:tcPr>
            <w:tcW w:w="1838" w:type="dxa"/>
          </w:tcPr>
          <w:p w14:paraId="00A8889E" w14:textId="77777777" w:rsidR="00B77A11" w:rsidRDefault="00B77A11" w:rsidP="00BF7B82">
            <w:pPr>
              <w:spacing w:after="120"/>
              <w:rPr>
                <w:lang w:eastAsia="zh-CN"/>
              </w:rPr>
            </w:pPr>
          </w:p>
        </w:tc>
        <w:tc>
          <w:tcPr>
            <w:tcW w:w="6095" w:type="dxa"/>
          </w:tcPr>
          <w:p w14:paraId="5C8DD4F0" w14:textId="77777777" w:rsidR="00B77A11" w:rsidRDefault="00B77A11" w:rsidP="00BF7B82">
            <w:pPr>
              <w:spacing w:after="120"/>
              <w:rPr>
                <w:lang w:eastAsia="zh-CN"/>
              </w:rPr>
            </w:pPr>
          </w:p>
        </w:tc>
      </w:tr>
      <w:tr w:rsidR="00B77A11" w14:paraId="5B242940" w14:textId="77777777" w:rsidTr="00BF7B82">
        <w:tc>
          <w:tcPr>
            <w:tcW w:w="1838" w:type="dxa"/>
          </w:tcPr>
          <w:p w14:paraId="47DD489C" w14:textId="77777777" w:rsidR="00B77A11" w:rsidRDefault="00B77A11" w:rsidP="00BF7B82">
            <w:pPr>
              <w:spacing w:after="120"/>
              <w:rPr>
                <w:lang w:eastAsia="zh-CN"/>
              </w:rPr>
            </w:pPr>
          </w:p>
        </w:tc>
        <w:tc>
          <w:tcPr>
            <w:tcW w:w="6095" w:type="dxa"/>
          </w:tcPr>
          <w:p w14:paraId="0F3764D6" w14:textId="77777777" w:rsidR="00B77A11" w:rsidRDefault="00B77A11" w:rsidP="00BF7B82">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w:t>
      </w:r>
      <w:r>
        <w:rPr>
          <w:lang w:val="en-US"/>
        </w:rPr>
        <w:lastRenderedPageBreak/>
        <w:t xml:space="preserve">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BF7B82">
        <w:tc>
          <w:tcPr>
            <w:tcW w:w="1838" w:type="dxa"/>
            <w:shd w:val="clear" w:color="auto" w:fill="D9D9D9"/>
          </w:tcPr>
          <w:p w14:paraId="1C667662" w14:textId="77777777" w:rsidR="00B77A11" w:rsidRDefault="00B77A11" w:rsidP="00BF7B82">
            <w:pPr>
              <w:spacing w:after="120"/>
              <w:rPr>
                <w:b/>
                <w:bCs/>
              </w:rPr>
            </w:pPr>
            <w:r>
              <w:rPr>
                <w:b/>
                <w:bCs/>
              </w:rPr>
              <w:t>Company</w:t>
            </w:r>
          </w:p>
        </w:tc>
        <w:tc>
          <w:tcPr>
            <w:tcW w:w="6095" w:type="dxa"/>
            <w:shd w:val="clear" w:color="auto" w:fill="D9D9D9"/>
          </w:tcPr>
          <w:p w14:paraId="21D85BE7" w14:textId="77777777" w:rsidR="00B77A11" w:rsidRDefault="00B77A11" w:rsidP="00BF7B82">
            <w:pPr>
              <w:spacing w:after="120"/>
              <w:rPr>
                <w:b/>
                <w:bCs/>
              </w:rPr>
            </w:pPr>
            <w:r>
              <w:rPr>
                <w:b/>
                <w:bCs/>
              </w:rPr>
              <w:t>Answer</w:t>
            </w:r>
          </w:p>
        </w:tc>
      </w:tr>
      <w:tr w:rsidR="00B77A11" w14:paraId="157DAA21" w14:textId="77777777" w:rsidTr="00BF7B82">
        <w:tc>
          <w:tcPr>
            <w:tcW w:w="1838" w:type="dxa"/>
          </w:tcPr>
          <w:p w14:paraId="390F7E6F" w14:textId="77777777" w:rsidR="00B77A11" w:rsidRDefault="00B77A11" w:rsidP="00BF7B82">
            <w:pPr>
              <w:spacing w:after="120"/>
            </w:pPr>
          </w:p>
        </w:tc>
        <w:tc>
          <w:tcPr>
            <w:tcW w:w="6095" w:type="dxa"/>
          </w:tcPr>
          <w:p w14:paraId="22724995" w14:textId="77777777" w:rsidR="00B77A11" w:rsidRDefault="00B77A11" w:rsidP="00BF7B82">
            <w:pPr>
              <w:spacing w:after="120"/>
            </w:pPr>
          </w:p>
        </w:tc>
      </w:tr>
      <w:tr w:rsidR="00B77A11" w14:paraId="12AE8285" w14:textId="77777777" w:rsidTr="00BF7B82">
        <w:tc>
          <w:tcPr>
            <w:tcW w:w="1838" w:type="dxa"/>
          </w:tcPr>
          <w:p w14:paraId="10F47507" w14:textId="77777777" w:rsidR="00B77A11" w:rsidRDefault="00B77A11" w:rsidP="00BF7B82">
            <w:pPr>
              <w:spacing w:after="120"/>
              <w:rPr>
                <w:rFonts w:eastAsia="Malgun Gothic"/>
                <w:lang w:eastAsia="ko-KR"/>
              </w:rPr>
            </w:pPr>
          </w:p>
        </w:tc>
        <w:tc>
          <w:tcPr>
            <w:tcW w:w="6095" w:type="dxa"/>
          </w:tcPr>
          <w:p w14:paraId="0D3A5A7F" w14:textId="77777777" w:rsidR="00B77A11" w:rsidRDefault="00B77A11" w:rsidP="00BF7B82">
            <w:pPr>
              <w:spacing w:after="120"/>
              <w:rPr>
                <w:rFonts w:eastAsia="Malgun Gothic"/>
                <w:lang w:eastAsia="ko-KR"/>
              </w:rPr>
            </w:pPr>
          </w:p>
        </w:tc>
      </w:tr>
      <w:tr w:rsidR="00B77A11" w14:paraId="45CA703D" w14:textId="77777777" w:rsidTr="00BF7B82">
        <w:tc>
          <w:tcPr>
            <w:tcW w:w="1838" w:type="dxa"/>
          </w:tcPr>
          <w:p w14:paraId="4BD1EDA0" w14:textId="77777777" w:rsidR="00B77A11" w:rsidRDefault="00B77A11" w:rsidP="00BF7B82">
            <w:pPr>
              <w:spacing w:after="120"/>
              <w:rPr>
                <w:rFonts w:eastAsia="Malgun Gothic"/>
                <w:lang w:eastAsia="zh-CN"/>
              </w:rPr>
            </w:pPr>
          </w:p>
        </w:tc>
        <w:tc>
          <w:tcPr>
            <w:tcW w:w="6095" w:type="dxa"/>
          </w:tcPr>
          <w:p w14:paraId="4F95EDA3" w14:textId="77777777" w:rsidR="00B77A11" w:rsidRPr="00DD753D" w:rsidRDefault="00B77A11" w:rsidP="00BF7B82">
            <w:pPr>
              <w:spacing w:after="120"/>
              <w:rPr>
                <w:rFonts w:eastAsia="DengXian"/>
                <w:lang w:eastAsia="zh-CN"/>
              </w:rPr>
            </w:pPr>
          </w:p>
        </w:tc>
      </w:tr>
      <w:tr w:rsidR="00B77A11" w14:paraId="6A19B7AC" w14:textId="77777777" w:rsidTr="00BF7B82">
        <w:tc>
          <w:tcPr>
            <w:tcW w:w="1838" w:type="dxa"/>
          </w:tcPr>
          <w:p w14:paraId="0240AED4" w14:textId="77777777" w:rsidR="00B77A11" w:rsidRDefault="00B77A11" w:rsidP="00BF7B82">
            <w:pPr>
              <w:spacing w:after="120"/>
              <w:rPr>
                <w:lang w:val="en-US"/>
              </w:rPr>
            </w:pPr>
          </w:p>
        </w:tc>
        <w:tc>
          <w:tcPr>
            <w:tcW w:w="6095" w:type="dxa"/>
          </w:tcPr>
          <w:p w14:paraId="067FA641" w14:textId="77777777" w:rsidR="00B77A11" w:rsidRPr="00DD753D" w:rsidRDefault="00B77A11" w:rsidP="00BF7B82">
            <w:pPr>
              <w:spacing w:after="120"/>
              <w:rPr>
                <w:lang w:val="en-US"/>
              </w:rPr>
            </w:pPr>
          </w:p>
        </w:tc>
      </w:tr>
      <w:tr w:rsidR="00B77A11" w14:paraId="0411064D" w14:textId="77777777" w:rsidTr="00BF7B82">
        <w:tc>
          <w:tcPr>
            <w:tcW w:w="1838" w:type="dxa"/>
          </w:tcPr>
          <w:p w14:paraId="77A82AD2" w14:textId="77777777" w:rsidR="00B77A11" w:rsidRDefault="00B77A11" w:rsidP="00BF7B82">
            <w:pPr>
              <w:spacing w:after="120"/>
            </w:pPr>
          </w:p>
        </w:tc>
        <w:tc>
          <w:tcPr>
            <w:tcW w:w="6095" w:type="dxa"/>
          </w:tcPr>
          <w:p w14:paraId="097FBA0C" w14:textId="77777777" w:rsidR="00B77A11" w:rsidRDefault="00B77A11" w:rsidP="00BF7B82">
            <w:pPr>
              <w:spacing w:after="120"/>
            </w:pPr>
          </w:p>
        </w:tc>
      </w:tr>
      <w:tr w:rsidR="00B77A11" w14:paraId="7FEB858D" w14:textId="77777777" w:rsidTr="00BF7B82">
        <w:tc>
          <w:tcPr>
            <w:tcW w:w="1838" w:type="dxa"/>
          </w:tcPr>
          <w:p w14:paraId="1C2B6455" w14:textId="77777777" w:rsidR="00B77A11" w:rsidRDefault="00B77A11" w:rsidP="00BF7B82">
            <w:pPr>
              <w:spacing w:after="120"/>
              <w:rPr>
                <w:rFonts w:eastAsia="Malgun Gothic"/>
                <w:lang w:eastAsia="ko-KR"/>
              </w:rPr>
            </w:pPr>
          </w:p>
        </w:tc>
        <w:tc>
          <w:tcPr>
            <w:tcW w:w="6095" w:type="dxa"/>
          </w:tcPr>
          <w:p w14:paraId="47B4D8BC" w14:textId="77777777" w:rsidR="00B77A11" w:rsidRDefault="00B77A11" w:rsidP="00BF7B82">
            <w:pPr>
              <w:spacing w:after="120"/>
              <w:rPr>
                <w:rFonts w:eastAsia="Malgun Gothic"/>
                <w:lang w:eastAsia="ko-KR"/>
              </w:rPr>
            </w:pPr>
          </w:p>
        </w:tc>
      </w:tr>
      <w:tr w:rsidR="00B77A11" w14:paraId="31B0EE3B" w14:textId="77777777" w:rsidTr="00BF7B82">
        <w:tc>
          <w:tcPr>
            <w:tcW w:w="1838" w:type="dxa"/>
          </w:tcPr>
          <w:p w14:paraId="096F6996" w14:textId="77777777" w:rsidR="00B77A11" w:rsidRDefault="00B77A11" w:rsidP="00BF7B82">
            <w:pPr>
              <w:spacing w:after="120"/>
            </w:pPr>
          </w:p>
        </w:tc>
        <w:tc>
          <w:tcPr>
            <w:tcW w:w="6095" w:type="dxa"/>
          </w:tcPr>
          <w:p w14:paraId="1232609C" w14:textId="77777777" w:rsidR="00B77A11" w:rsidRDefault="00B77A11" w:rsidP="00BF7B82">
            <w:pPr>
              <w:spacing w:after="120"/>
            </w:pPr>
          </w:p>
        </w:tc>
      </w:tr>
      <w:tr w:rsidR="00B77A11" w14:paraId="0C24F07A" w14:textId="77777777" w:rsidTr="00BF7B82">
        <w:tc>
          <w:tcPr>
            <w:tcW w:w="1838" w:type="dxa"/>
          </w:tcPr>
          <w:p w14:paraId="6BB011B1" w14:textId="77777777" w:rsidR="00B77A11" w:rsidRDefault="00B77A11" w:rsidP="00BF7B82">
            <w:pPr>
              <w:spacing w:after="120"/>
            </w:pPr>
          </w:p>
        </w:tc>
        <w:tc>
          <w:tcPr>
            <w:tcW w:w="6095" w:type="dxa"/>
          </w:tcPr>
          <w:p w14:paraId="5CA39F59" w14:textId="77777777" w:rsidR="00B77A11" w:rsidRDefault="00B77A11" w:rsidP="00BF7B82">
            <w:pPr>
              <w:spacing w:after="120"/>
              <w:rPr>
                <w:lang w:eastAsia="zh-CN"/>
              </w:rPr>
            </w:pPr>
          </w:p>
        </w:tc>
      </w:tr>
      <w:tr w:rsidR="00B77A11" w14:paraId="77691429" w14:textId="77777777" w:rsidTr="00BF7B82">
        <w:tc>
          <w:tcPr>
            <w:tcW w:w="1838" w:type="dxa"/>
          </w:tcPr>
          <w:p w14:paraId="002A3551" w14:textId="77777777" w:rsidR="00B77A11" w:rsidRDefault="00B77A11" w:rsidP="00BF7B82">
            <w:pPr>
              <w:spacing w:after="120"/>
            </w:pPr>
          </w:p>
        </w:tc>
        <w:tc>
          <w:tcPr>
            <w:tcW w:w="6095" w:type="dxa"/>
          </w:tcPr>
          <w:p w14:paraId="6E4C125B" w14:textId="77777777" w:rsidR="00B77A11" w:rsidRDefault="00B77A11" w:rsidP="00BF7B82">
            <w:pPr>
              <w:spacing w:after="120"/>
            </w:pPr>
          </w:p>
        </w:tc>
      </w:tr>
      <w:tr w:rsidR="00B77A11" w14:paraId="2CC5CCDD" w14:textId="77777777" w:rsidTr="00BF7B82">
        <w:tc>
          <w:tcPr>
            <w:tcW w:w="1838" w:type="dxa"/>
          </w:tcPr>
          <w:p w14:paraId="15374EBA" w14:textId="77777777" w:rsidR="00B77A11" w:rsidRDefault="00B77A11" w:rsidP="00BF7B82">
            <w:pPr>
              <w:spacing w:after="120"/>
            </w:pPr>
          </w:p>
        </w:tc>
        <w:tc>
          <w:tcPr>
            <w:tcW w:w="6095" w:type="dxa"/>
          </w:tcPr>
          <w:p w14:paraId="05D3E35B" w14:textId="77777777" w:rsidR="00B77A11" w:rsidRDefault="00B77A11" w:rsidP="00BF7B82">
            <w:pPr>
              <w:spacing w:after="120"/>
            </w:pPr>
          </w:p>
        </w:tc>
      </w:tr>
      <w:tr w:rsidR="00B77A11" w14:paraId="74D97573" w14:textId="77777777" w:rsidTr="00BF7B82">
        <w:tc>
          <w:tcPr>
            <w:tcW w:w="1838" w:type="dxa"/>
          </w:tcPr>
          <w:p w14:paraId="3B50F39B" w14:textId="77777777" w:rsidR="00B77A11" w:rsidRDefault="00B77A11" w:rsidP="00BF7B82">
            <w:pPr>
              <w:spacing w:after="120"/>
            </w:pPr>
          </w:p>
        </w:tc>
        <w:tc>
          <w:tcPr>
            <w:tcW w:w="6095" w:type="dxa"/>
          </w:tcPr>
          <w:p w14:paraId="2B9E596D" w14:textId="77777777" w:rsidR="00B77A11" w:rsidRDefault="00B77A11" w:rsidP="00BF7B82">
            <w:pPr>
              <w:spacing w:after="120"/>
            </w:pPr>
          </w:p>
        </w:tc>
      </w:tr>
      <w:tr w:rsidR="00B77A11" w14:paraId="629B68F9" w14:textId="77777777" w:rsidTr="00BF7B82">
        <w:tc>
          <w:tcPr>
            <w:tcW w:w="1838" w:type="dxa"/>
          </w:tcPr>
          <w:p w14:paraId="557BA839" w14:textId="77777777" w:rsidR="00B77A11" w:rsidRDefault="00B77A11" w:rsidP="00BF7B82">
            <w:pPr>
              <w:spacing w:after="120"/>
              <w:rPr>
                <w:lang w:eastAsia="zh-CN"/>
              </w:rPr>
            </w:pPr>
          </w:p>
        </w:tc>
        <w:tc>
          <w:tcPr>
            <w:tcW w:w="6095" w:type="dxa"/>
          </w:tcPr>
          <w:p w14:paraId="03F17ED5" w14:textId="77777777" w:rsidR="00B77A11" w:rsidRDefault="00B77A11" w:rsidP="00BF7B82">
            <w:pPr>
              <w:spacing w:after="120"/>
              <w:rPr>
                <w:lang w:eastAsia="zh-CN"/>
              </w:rPr>
            </w:pPr>
          </w:p>
        </w:tc>
      </w:tr>
      <w:tr w:rsidR="00B77A11" w14:paraId="43E78708" w14:textId="77777777" w:rsidTr="00BF7B82">
        <w:tc>
          <w:tcPr>
            <w:tcW w:w="1838" w:type="dxa"/>
          </w:tcPr>
          <w:p w14:paraId="7F17101D" w14:textId="77777777" w:rsidR="00B77A11" w:rsidRDefault="00B77A11" w:rsidP="00BF7B82">
            <w:pPr>
              <w:spacing w:after="120"/>
              <w:rPr>
                <w:lang w:eastAsia="zh-CN"/>
              </w:rPr>
            </w:pPr>
          </w:p>
        </w:tc>
        <w:tc>
          <w:tcPr>
            <w:tcW w:w="6095" w:type="dxa"/>
          </w:tcPr>
          <w:p w14:paraId="32D22BD0" w14:textId="77777777" w:rsidR="00B77A11" w:rsidRDefault="00B77A11" w:rsidP="00BF7B82">
            <w:pPr>
              <w:spacing w:after="120"/>
              <w:rPr>
                <w:lang w:eastAsia="zh-CN"/>
              </w:rPr>
            </w:pPr>
          </w:p>
        </w:tc>
      </w:tr>
      <w:tr w:rsidR="00B77A11" w14:paraId="6A2E1A20" w14:textId="77777777" w:rsidTr="00BF7B82">
        <w:tc>
          <w:tcPr>
            <w:tcW w:w="1838" w:type="dxa"/>
          </w:tcPr>
          <w:p w14:paraId="243407CA" w14:textId="77777777" w:rsidR="00B77A11" w:rsidRDefault="00B77A11" w:rsidP="00BF7B82">
            <w:pPr>
              <w:spacing w:after="120"/>
              <w:rPr>
                <w:lang w:eastAsia="zh-CN"/>
              </w:rPr>
            </w:pPr>
          </w:p>
        </w:tc>
        <w:tc>
          <w:tcPr>
            <w:tcW w:w="6095" w:type="dxa"/>
          </w:tcPr>
          <w:p w14:paraId="7B1B879A" w14:textId="77777777" w:rsidR="00B77A11" w:rsidRDefault="00B77A11" w:rsidP="00BF7B82">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3" w:name="_Toc60776787"/>
      <w:bookmarkStart w:id="4" w:name="_Toc83739742"/>
      <w:r w:rsidRPr="00EC6DAE">
        <w:rPr>
          <w:rFonts w:ascii="Arial" w:eastAsia="Times New Roman" w:hAnsi="Arial"/>
          <w:sz w:val="24"/>
        </w:rPr>
        <w:t>5.3.5.11</w:t>
      </w:r>
      <w:r w:rsidRPr="00EC6DAE">
        <w:rPr>
          <w:rFonts w:ascii="Arial" w:eastAsia="Times New Roman" w:hAnsi="Arial"/>
          <w:sz w:val="24"/>
        </w:rPr>
        <w:tab/>
        <w:t>Full configuration</w:t>
      </w:r>
      <w:bookmarkEnd w:id="3"/>
      <w:bookmarkEnd w:id="4"/>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w:t>
      </w:r>
      <w:proofErr w:type="gramStart"/>
      <w:r>
        <w:rPr>
          <w:lang w:val="en-US"/>
        </w:rPr>
        <w:t>as long as</w:t>
      </w:r>
      <w:proofErr w:type="gramEnd"/>
      <w:r>
        <w:rPr>
          <w:lang w:val="en-US"/>
        </w:rPr>
        <w:t xml:space="preserve">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lastRenderedPageBreak/>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5"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5"/>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BF7B82">
        <w:tc>
          <w:tcPr>
            <w:tcW w:w="1838" w:type="dxa"/>
            <w:shd w:val="clear" w:color="auto" w:fill="D9D9D9"/>
          </w:tcPr>
          <w:p w14:paraId="0AC6E694" w14:textId="77777777" w:rsidR="00B77A11" w:rsidRDefault="00B77A11" w:rsidP="00BF7B82">
            <w:pPr>
              <w:spacing w:after="120"/>
              <w:rPr>
                <w:b/>
                <w:bCs/>
              </w:rPr>
            </w:pPr>
            <w:r>
              <w:rPr>
                <w:b/>
                <w:bCs/>
              </w:rPr>
              <w:t>Company</w:t>
            </w:r>
          </w:p>
        </w:tc>
        <w:tc>
          <w:tcPr>
            <w:tcW w:w="6095" w:type="dxa"/>
            <w:shd w:val="clear" w:color="auto" w:fill="D9D9D9"/>
          </w:tcPr>
          <w:p w14:paraId="0B887B62" w14:textId="77777777" w:rsidR="00B77A11" w:rsidRDefault="00B77A11" w:rsidP="00BF7B82">
            <w:pPr>
              <w:spacing w:after="120"/>
              <w:rPr>
                <w:b/>
                <w:bCs/>
              </w:rPr>
            </w:pPr>
            <w:r>
              <w:rPr>
                <w:b/>
                <w:bCs/>
              </w:rPr>
              <w:t>Answer</w:t>
            </w:r>
          </w:p>
        </w:tc>
      </w:tr>
      <w:tr w:rsidR="00B77A11" w14:paraId="78015C17" w14:textId="77777777" w:rsidTr="00BF7B82">
        <w:tc>
          <w:tcPr>
            <w:tcW w:w="1838" w:type="dxa"/>
          </w:tcPr>
          <w:p w14:paraId="1BE5ACD8" w14:textId="77777777" w:rsidR="00B77A11" w:rsidRDefault="00B77A11" w:rsidP="00BF7B82">
            <w:pPr>
              <w:spacing w:after="120"/>
            </w:pPr>
          </w:p>
        </w:tc>
        <w:tc>
          <w:tcPr>
            <w:tcW w:w="6095" w:type="dxa"/>
          </w:tcPr>
          <w:p w14:paraId="552498A9" w14:textId="77777777" w:rsidR="00B77A11" w:rsidRDefault="00B77A11" w:rsidP="00BF7B82">
            <w:pPr>
              <w:spacing w:after="120"/>
            </w:pPr>
          </w:p>
        </w:tc>
      </w:tr>
      <w:tr w:rsidR="00B77A11" w14:paraId="7360DD08" w14:textId="77777777" w:rsidTr="00BF7B82">
        <w:tc>
          <w:tcPr>
            <w:tcW w:w="1838" w:type="dxa"/>
          </w:tcPr>
          <w:p w14:paraId="6736D03F" w14:textId="77777777" w:rsidR="00B77A11" w:rsidRDefault="00B77A11" w:rsidP="00BF7B82">
            <w:pPr>
              <w:spacing w:after="120"/>
              <w:rPr>
                <w:rFonts w:eastAsia="Malgun Gothic"/>
                <w:lang w:eastAsia="ko-KR"/>
              </w:rPr>
            </w:pPr>
          </w:p>
        </w:tc>
        <w:tc>
          <w:tcPr>
            <w:tcW w:w="6095" w:type="dxa"/>
          </w:tcPr>
          <w:p w14:paraId="3CDFDE53" w14:textId="77777777" w:rsidR="00B77A11" w:rsidRDefault="00B77A11" w:rsidP="00BF7B82">
            <w:pPr>
              <w:spacing w:after="120"/>
              <w:rPr>
                <w:rFonts w:eastAsia="Malgun Gothic"/>
                <w:lang w:eastAsia="ko-KR"/>
              </w:rPr>
            </w:pPr>
          </w:p>
        </w:tc>
      </w:tr>
      <w:tr w:rsidR="00B77A11" w14:paraId="4681F822" w14:textId="77777777" w:rsidTr="00BF7B82">
        <w:tc>
          <w:tcPr>
            <w:tcW w:w="1838" w:type="dxa"/>
          </w:tcPr>
          <w:p w14:paraId="660C75AA" w14:textId="77777777" w:rsidR="00B77A11" w:rsidRDefault="00B77A11" w:rsidP="00BF7B82">
            <w:pPr>
              <w:spacing w:after="120"/>
              <w:rPr>
                <w:rFonts w:eastAsia="Malgun Gothic"/>
                <w:lang w:eastAsia="zh-CN"/>
              </w:rPr>
            </w:pPr>
          </w:p>
        </w:tc>
        <w:tc>
          <w:tcPr>
            <w:tcW w:w="6095" w:type="dxa"/>
          </w:tcPr>
          <w:p w14:paraId="070ADB0B" w14:textId="77777777" w:rsidR="00B77A11" w:rsidRPr="00DD753D" w:rsidRDefault="00B77A11" w:rsidP="00BF7B82">
            <w:pPr>
              <w:spacing w:after="120"/>
              <w:rPr>
                <w:rFonts w:eastAsia="DengXian"/>
                <w:lang w:eastAsia="zh-CN"/>
              </w:rPr>
            </w:pPr>
          </w:p>
        </w:tc>
      </w:tr>
      <w:tr w:rsidR="00B77A11" w14:paraId="2D5DC858" w14:textId="77777777" w:rsidTr="00BF7B82">
        <w:tc>
          <w:tcPr>
            <w:tcW w:w="1838" w:type="dxa"/>
          </w:tcPr>
          <w:p w14:paraId="0319009B" w14:textId="77777777" w:rsidR="00B77A11" w:rsidRDefault="00B77A11" w:rsidP="00BF7B82">
            <w:pPr>
              <w:spacing w:after="120"/>
              <w:rPr>
                <w:lang w:val="en-US"/>
              </w:rPr>
            </w:pPr>
          </w:p>
        </w:tc>
        <w:tc>
          <w:tcPr>
            <w:tcW w:w="6095" w:type="dxa"/>
          </w:tcPr>
          <w:p w14:paraId="7138DC06" w14:textId="77777777" w:rsidR="00B77A11" w:rsidRPr="00DD753D" w:rsidRDefault="00B77A11" w:rsidP="00BF7B82">
            <w:pPr>
              <w:spacing w:after="120"/>
              <w:rPr>
                <w:lang w:val="en-US"/>
              </w:rPr>
            </w:pPr>
          </w:p>
        </w:tc>
      </w:tr>
      <w:tr w:rsidR="00B77A11" w14:paraId="08A3E8C8" w14:textId="77777777" w:rsidTr="00BF7B82">
        <w:tc>
          <w:tcPr>
            <w:tcW w:w="1838" w:type="dxa"/>
          </w:tcPr>
          <w:p w14:paraId="01DBB39C" w14:textId="77777777" w:rsidR="00B77A11" w:rsidRDefault="00B77A11" w:rsidP="00BF7B82">
            <w:pPr>
              <w:spacing w:after="120"/>
            </w:pPr>
          </w:p>
        </w:tc>
        <w:tc>
          <w:tcPr>
            <w:tcW w:w="6095" w:type="dxa"/>
          </w:tcPr>
          <w:p w14:paraId="648620C4" w14:textId="77777777" w:rsidR="00B77A11" w:rsidRDefault="00B77A11" w:rsidP="00BF7B82">
            <w:pPr>
              <w:spacing w:after="120"/>
            </w:pPr>
          </w:p>
        </w:tc>
      </w:tr>
      <w:tr w:rsidR="00B77A11" w14:paraId="5E0CD7D4" w14:textId="77777777" w:rsidTr="00BF7B82">
        <w:tc>
          <w:tcPr>
            <w:tcW w:w="1838" w:type="dxa"/>
          </w:tcPr>
          <w:p w14:paraId="13260884" w14:textId="77777777" w:rsidR="00B77A11" w:rsidRDefault="00B77A11" w:rsidP="00BF7B82">
            <w:pPr>
              <w:spacing w:after="120"/>
              <w:rPr>
                <w:rFonts w:eastAsia="Malgun Gothic"/>
                <w:lang w:eastAsia="ko-KR"/>
              </w:rPr>
            </w:pPr>
          </w:p>
        </w:tc>
        <w:tc>
          <w:tcPr>
            <w:tcW w:w="6095" w:type="dxa"/>
          </w:tcPr>
          <w:p w14:paraId="35216AD9" w14:textId="77777777" w:rsidR="00B77A11" w:rsidRDefault="00B77A11" w:rsidP="00BF7B82">
            <w:pPr>
              <w:spacing w:after="120"/>
              <w:rPr>
                <w:rFonts w:eastAsia="Malgun Gothic"/>
                <w:lang w:eastAsia="ko-KR"/>
              </w:rPr>
            </w:pPr>
          </w:p>
        </w:tc>
      </w:tr>
      <w:tr w:rsidR="00B77A11" w14:paraId="748B0708" w14:textId="77777777" w:rsidTr="00BF7B82">
        <w:tc>
          <w:tcPr>
            <w:tcW w:w="1838" w:type="dxa"/>
          </w:tcPr>
          <w:p w14:paraId="2DC0C76B" w14:textId="77777777" w:rsidR="00B77A11" w:rsidRDefault="00B77A11" w:rsidP="00BF7B82">
            <w:pPr>
              <w:spacing w:after="120"/>
            </w:pPr>
          </w:p>
        </w:tc>
        <w:tc>
          <w:tcPr>
            <w:tcW w:w="6095" w:type="dxa"/>
          </w:tcPr>
          <w:p w14:paraId="57AF20D2" w14:textId="77777777" w:rsidR="00B77A11" w:rsidRDefault="00B77A11" w:rsidP="00BF7B82">
            <w:pPr>
              <w:spacing w:after="120"/>
            </w:pPr>
          </w:p>
        </w:tc>
      </w:tr>
      <w:tr w:rsidR="00B77A11" w14:paraId="5F6F06B0" w14:textId="77777777" w:rsidTr="00BF7B82">
        <w:tc>
          <w:tcPr>
            <w:tcW w:w="1838" w:type="dxa"/>
          </w:tcPr>
          <w:p w14:paraId="1499A995" w14:textId="77777777" w:rsidR="00B77A11" w:rsidRDefault="00B77A11" w:rsidP="00BF7B82">
            <w:pPr>
              <w:spacing w:after="120"/>
            </w:pPr>
          </w:p>
        </w:tc>
        <w:tc>
          <w:tcPr>
            <w:tcW w:w="6095" w:type="dxa"/>
          </w:tcPr>
          <w:p w14:paraId="660B6D5A" w14:textId="77777777" w:rsidR="00B77A11" w:rsidRDefault="00B77A11" w:rsidP="00BF7B82">
            <w:pPr>
              <w:spacing w:after="120"/>
              <w:rPr>
                <w:lang w:eastAsia="zh-CN"/>
              </w:rPr>
            </w:pPr>
          </w:p>
        </w:tc>
      </w:tr>
      <w:tr w:rsidR="00B77A11" w14:paraId="3382BFEF" w14:textId="77777777" w:rsidTr="00BF7B82">
        <w:tc>
          <w:tcPr>
            <w:tcW w:w="1838" w:type="dxa"/>
          </w:tcPr>
          <w:p w14:paraId="4160647B" w14:textId="77777777" w:rsidR="00B77A11" w:rsidRDefault="00B77A11" w:rsidP="00BF7B82">
            <w:pPr>
              <w:spacing w:after="120"/>
            </w:pPr>
          </w:p>
        </w:tc>
        <w:tc>
          <w:tcPr>
            <w:tcW w:w="6095" w:type="dxa"/>
          </w:tcPr>
          <w:p w14:paraId="29FB94A8" w14:textId="77777777" w:rsidR="00B77A11" w:rsidRDefault="00B77A11" w:rsidP="00BF7B82">
            <w:pPr>
              <w:spacing w:after="120"/>
            </w:pPr>
          </w:p>
        </w:tc>
      </w:tr>
      <w:tr w:rsidR="00B77A11" w14:paraId="4E80AC5A" w14:textId="77777777" w:rsidTr="00BF7B82">
        <w:tc>
          <w:tcPr>
            <w:tcW w:w="1838" w:type="dxa"/>
          </w:tcPr>
          <w:p w14:paraId="3A09F191" w14:textId="77777777" w:rsidR="00B77A11" w:rsidRDefault="00B77A11" w:rsidP="00BF7B82">
            <w:pPr>
              <w:spacing w:after="120"/>
            </w:pPr>
          </w:p>
        </w:tc>
        <w:tc>
          <w:tcPr>
            <w:tcW w:w="6095" w:type="dxa"/>
          </w:tcPr>
          <w:p w14:paraId="2A8514EE" w14:textId="77777777" w:rsidR="00B77A11" w:rsidRDefault="00B77A11" w:rsidP="00BF7B82">
            <w:pPr>
              <w:spacing w:after="120"/>
            </w:pPr>
          </w:p>
        </w:tc>
      </w:tr>
      <w:tr w:rsidR="00B77A11" w14:paraId="60737178" w14:textId="77777777" w:rsidTr="00BF7B82">
        <w:tc>
          <w:tcPr>
            <w:tcW w:w="1838" w:type="dxa"/>
          </w:tcPr>
          <w:p w14:paraId="3960D3E2" w14:textId="77777777" w:rsidR="00B77A11" w:rsidRDefault="00B77A11" w:rsidP="00BF7B82">
            <w:pPr>
              <w:spacing w:after="120"/>
            </w:pPr>
          </w:p>
        </w:tc>
        <w:tc>
          <w:tcPr>
            <w:tcW w:w="6095" w:type="dxa"/>
          </w:tcPr>
          <w:p w14:paraId="52AD611D" w14:textId="77777777" w:rsidR="00B77A11" w:rsidRDefault="00B77A11" w:rsidP="00BF7B82">
            <w:pPr>
              <w:spacing w:after="120"/>
            </w:pPr>
          </w:p>
        </w:tc>
      </w:tr>
      <w:tr w:rsidR="00B77A11" w14:paraId="0FEA2E28" w14:textId="77777777" w:rsidTr="00BF7B82">
        <w:tc>
          <w:tcPr>
            <w:tcW w:w="1838" w:type="dxa"/>
          </w:tcPr>
          <w:p w14:paraId="47D503ED" w14:textId="77777777" w:rsidR="00B77A11" w:rsidRDefault="00B77A11" w:rsidP="00BF7B82">
            <w:pPr>
              <w:spacing w:after="120"/>
              <w:rPr>
                <w:lang w:eastAsia="zh-CN"/>
              </w:rPr>
            </w:pPr>
          </w:p>
        </w:tc>
        <w:tc>
          <w:tcPr>
            <w:tcW w:w="6095" w:type="dxa"/>
          </w:tcPr>
          <w:p w14:paraId="52047430" w14:textId="77777777" w:rsidR="00B77A11" w:rsidRDefault="00B77A11" w:rsidP="00BF7B82">
            <w:pPr>
              <w:spacing w:after="120"/>
              <w:rPr>
                <w:lang w:eastAsia="zh-CN"/>
              </w:rPr>
            </w:pPr>
          </w:p>
        </w:tc>
      </w:tr>
      <w:tr w:rsidR="00B77A11" w14:paraId="34BBECF2" w14:textId="77777777" w:rsidTr="00BF7B82">
        <w:tc>
          <w:tcPr>
            <w:tcW w:w="1838" w:type="dxa"/>
          </w:tcPr>
          <w:p w14:paraId="25F96A68" w14:textId="77777777" w:rsidR="00B77A11" w:rsidRDefault="00B77A11" w:rsidP="00BF7B82">
            <w:pPr>
              <w:spacing w:after="120"/>
              <w:rPr>
                <w:lang w:eastAsia="zh-CN"/>
              </w:rPr>
            </w:pPr>
          </w:p>
        </w:tc>
        <w:tc>
          <w:tcPr>
            <w:tcW w:w="6095" w:type="dxa"/>
          </w:tcPr>
          <w:p w14:paraId="6C73E242" w14:textId="77777777" w:rsidR="00B77A11" w:rsidRDefault="00B77A11" w:rsidP="00BF7B82">
            <w:pPr>
              <w:spacing w:after="120"/>
              <w:rPr>
                <w:lang w:eastAsia="zh-CN"/>
              </w:rPr>
            </w:pPr>
          </w:p>
        </w:tc>
      </w:tr>
      <w:tr w:rsidR="00B77A11" w14:paraId="5C0D7DC0" w14:textId="77777777" w:rsidTr="00BF7B82">
        <w:tc>
          <w:tcPr>
            <w:tcW w:w="1838" w:type="dxa"/>
          </w:tcPr>
          <w:p w14:paraId="287DDA34" w14:textId="77777777" w:rsidR="00B77A11" w:rsidRDefault="00B77A11" w:rsidP="00BF7B82">
            <w:pPr>
              <w:spacing w:after="120"/>
              <w:rPr>
                <w:lang w:eastAsia="zh-CN"/>
              </w:rPr>
            </w:pPr>
          </w:p>
        </w:tc>
        <w:tc>
          <w:tcPr>
            <w:tcW w:w="6095" w:type="dxa"/>
          </w:tcPr>
          <w:p w14:paraId="7F28D201" w14:textId="77777777" w:rsidR="00B77A11" w:rsidRDefault="00B77A11" w:rsidP="00BF7B82">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 xml:space="preserve">Question 8: What should the UE do if a handover occurs during the transmission of a </w:t>
      </w:r>
      <w:proofErr w:type="spellStart"/>
      <w:r>
        <w:t>QoE</w:t>
      </w:r>
      <w:proofErr w:type="spellEnd"/>
      <w:r>
        <w:t xml:space="preserv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BF7B82">
        <w:tc>
          <w:tcPr>
            <w:tcW w:w="1838" w:type="dxa"/>
            <w:shd w:val="clear" w:color="auto" w:fill="D9D9D9"/>
          </w:tcPr>
          <w:p w14:paraId="3417ED39" w14:textId="77777777" w:rsidR="00B77A11" w:rsidRDefault="00B77A11" w:rsidP="00BF7B82">
            <w:pPr>
              <w:spacing w:after="120"/>
              <w:rPr>
                <w:b/>
                <w:bCs/>
              </w:rPr>
            </w:pPr>
            <w:r>
              <w:rPr>
                <w:b/>
                <w:bCs/>
              </w:rPr>
              <w:t>Company</w:t>
            </w:r>
          </w:p>
        </w:tc>
        <w:tc>
          <w:tcPr>
            <w:tcW w:w="6095" w:type="dxa"/>
            <w:shd w:val="clear" w:color="auto" w:fill="D9D9D9"/>
          </w:tcPr>
          <w:p w14:paraId="14F47E26" w14:textId="77777777" w:rsidR="00B77A11" w:rsidRDefault="00B77A11" w:rsidP="00BF7B82">
            <w:pPr>
              <w:spacing w:after="120"/>
              <w:rPr>
                <w:b/>
                <w:bCs/>
              </w:rPr>
            </w:pPr>
            <w:r>
              <w:rPr>
                <w:b/>
                <w:bCs/>
              </w:rPr>
              <w:t>Answer</w:t>
            </w:r>
          </w:p>
        </w:tc>
      </w:tr>
      <w:tr w:rsidR="00B77A11" w14:paraId="66F8F3F3" w14:textId="77777777" w:rsidTr="00BF7B82">
        <w:tc>
          <w:tcPr>
            <w:tcW w:w="1838" w:type="dxa"/>
          </w:tcPr>
          <w:p w14:paraId="2422CAEC" w14:textId="77777777" w:rsidR="00B77A11" w:rsidRDefault="00B77A11" w:rsidP="00BF7B82">
            <w:pPr>
              <w:spacing w:after="120"/>
            </w:pPr>
          </w:p>
        </w:tc>
        <w:tc>
          <w:tcPr>
            <w:tcW w:w="6095" w:type="dxa"/>
          </w:tcPr>
          <w:p w14:paraId="65CF90F5" w14:textId="77777777" w:rsidR="00B77A11" w:rsidRDefault="00B77A11" w:rsidP="00BF7B82">
            <w:pPr>
              <w:spacing w:after="120"/>
            </w:pPr>
          </w:p>
        </w:tc>
      </w:tr>
      <w:tr w:rsidR="00B77A11" w14:paraId="03BE4387" w14:textId="77777777" w:rsidTr="00BF7B82">
        <w:tc>
          <w:tcPr>
            <w:tcW w:w="1838" w:type="dxa"/>
          </w:tcPr>
          <w:p w14:paraId="77B38F29" w14:textId="77777777" w:rsidR="00B77A11" w:rsidRDefault="00B77A11" w:rsidP="00BF7B82">
            <w:pPr>
              <w:spacing w:after="120"/>
              <w:rPr>
                <w:rFonts w:eastAsia="Malgun Gothic"/>
                <w:lang w:eastAsia="ko-KR"/>
              </w:rPr>
            </w:pPr>
          </w:p>
        </w:tc>
        <w:tc>
          <w:tcPr>
            <w:tcW w:w="6095" w:type="dxa"/>
          </w:tcPr>
          <w:p w14:paraId="3E880896" w14:textId="77777777" w:rsidR="00B77A11" w:rsidRDefault="00B77A11" w:rsidP="00BF7B82">
            <w:pPr>
              <w:spacing w:after="120"/>
              <w:rPr>
                <w:rFonts w:eastAsia="Malgun Gothic"/>
                <w:lang w:eastAsia="ko-KR"/>
              </w:rPr>
            </w:pPr>
          </w:p>
        </w:tc>
      </w:tr>
      <w:tr w:rsidR="00B77A11" w14:paraId="7AB3E4B9" w14:textId="77777777" w:rsidTr="00BF7B82">
        <w:tc>
          <w:tcPr>
            <w:tcW w:w="1838" w:type="dxa"/>
          </w:tcPr>
          <w:p w14:paraId="35314E23" w14:textId="77777777" w:rsidR="00B77A11" w:rsidRDefault="00B77A11" w:rsidP="00BF7B82">
            <w:pPr>
              <w:spacing w:after="120"/>
              <w:rPr>
                <w:rFonts w:eastAsia="Malgun Gothic"/>
                <w:lang w:eastAsia="zh-CN"/>
              </w:rPr>
            </w:pPr>
          </w:p>
        </w:tc>
        <w:tc>
          <w:tcPr>
            <w:tcW w:w="6095" w:type="dxa"/>
          </w:tcPr>
          <w:p w14:paraId="3F8F621E" w14:textId="77777777" w:rsidR="00B77A11" w:rsidRPr="00DD753D" w:rsidRDefault="00B77A11" w:rsidP="00BF7B82">
            <w:pPr>
              <w:spacing w:after="120"/>
              <w:rPr>
                <w:rFonts w:eastAsia="DengXian"/>
                <w:lang w:eastAsia="zh-CN"/>
              </w:rPr>
            </w:pPr>
          </w:p>
        </w:tc>
      </w:tr>
      <w:tr w:rsidR="00B77A11" w14:paraId="565FEB3E" w14:textId="77777777" w:rsidTr="00BF7B82">
        <w:tc>
          <w:tcPr>
            <w:tcW w:w="1838" w:type="dxa"/>
          </w:tcPr>
          <w:p w14:paraId="625A8684" w14:textId="77777777" w:rsidR="00B77A11" w:rsidRDefault="00B77A11" w:rsidP="00BF7B82">
            <w:pPr>
              <w:spacing w:after="120"/>
              <w:rPr>
                <w:lang w:val="en-US"/>
              </w:rPr>
            </w:pPr>
          </w:p>
        </w:tc>
        <w:tc>
          <w:tcPr>
            <w:tcW w:w="6095" w:type="dxa"/>
          </w:tcPr>
          <w:p w14:paraId="45E752CA" w14:textId="77777777" w:rsidR="00B77A11" w:rsidRPr="00DD753D" w:rsidRDefault="00B77A11" w:rsidP="00BF7B82">
            <w:pPr>
              <w:spacing w:after="120"/>
              <w:rPr>
                <w:lang w:val="en-US"/>
              </w:rPr>
            </w:pPr>
          </w:p>
        </w:tc>
      </w:tr>
      <w:tr w:rsidR="00B77A11" w14:paraId="3348C730" w14:textId="77777777" w:rsidTr="00BF7B82">
        <w:tc>
          <w:tcPr>
            <w:tcW w:w="1838" w:type="dxa"/>
          </w:tcPr>
          <w:p w14:paraId="38D09DE3" w14:textId="77777777" w:rsidR="00B77A11" w:rsidRDefault="00B77A11" w:rsidP="00BF7B82">
            <w:pPr>
              <w:spacing w:after="120"/>
            </w:pPr>
          </w:p>
        </w:tc>
        <w:tc>
          <w:tcPr>
            <w:tcW w:w="6095" w:type="dxa"/>
          </w:tcPr>
          <w:p w14:paraId="3645EAAD" w14:textId="77777777" w:rsidR="00B77A11" w:rsidRDefault="00B77A11" w:rsidP="00BF7B82">
            <w:pPr>
              <w:spacing w:after="120"/>
            </w:pPr>
          </w:p>
        </w:tc>
      </w:tr>
      <w:tr w:rsidR="00B77A11" w14:paraId="1A7C62FC" w14:textId="77777777" w:rsidTr="00BF7B82">
        <w:tc>
          <w:tcPr>
            <w:tcW w:w="1838" w:type="dxa"/>
          </w:tcPr>
          <w:p w14:paraId="0A0E5C33" w14:textId="77777777" w:rsidR="00B77A11" w:rsidRDefault="00B77A11" w:rsidP="00BF7B82">
            <w:pPr>
              <w:spacing w:after="120"/>
              <w:rPr>
                <w:rFonts w:eastAsia="Malgun Gothic"/>
                <w:lang w:eastAsia="ko-KR"/>
              </w:rPr>
            </w:pPr>
          </w:p>
        </w:tc>
        <w:tc>
          <w:tcPr>
            <w:tcW w:w="6095" w:type="dxa"/>
          </w:tcPr>
          <w:p w14:paraId="63F3C93F" w14:textId="77777777" w:rsidR="00B77A11" w:rsidRDefault="00B77A11" w:rsidP="00BF7B82">
            <w:pPr>
              <w:spacing w:after="120"/>
              <w:rPr>
                <w:rFonts w:eastAsia="Malgun Gothic"/>
                <w:lang w:eastAsia="ko-KR"/>
              </w:rPr>
            </w:pPr>
          </w:p>
        </w:tc>
      </w:tr>
      <w:tr w:rsidR="00B77A11" w14:paraId="36CE9E58" w14:textId="77777777" w:rsidTr="00BF7B82">
        <w:tc>
          <w:tcPr>
            <w:tcW w:w="1838" w:type="dxa"/>
          </w:tcPr>
          <w:p w14:paraId="30EE2302" w14:textId="77777777" w:rsidR="00B77A11" w:rsidRDefault="00B77A11" w:rsidP="00BF7B82">
            <w:pPr>
              <w:spacing w:after="120"/>
            </w:pPr>
          </w:p>
        </w:tc>
        <w:tc>
          <w:tcPr>
            <w:tcW w:w="6095" w:type="dxa"/>
          </w:tcPr>
          <w:p w14:paraId="3AC1C5D0" w14:textId="77777777" w:rsidR="00B77A11" w:rsidRDefault="00B77A11" w:rsidP="00BF7B82">
            <w:pPr>
              <w:spacing w:after="120"/>
            </w:pPr>
          </w:p>
        </w:tc>
      </w:tr>
      <w:tr w:rsidR="00B77A11" w14:paraId="7634D91A" w14:textId="77777777" w:rsidTr="00BF7B82">
        <w:tc>
          <w:tcPr>
            <w:tcW w:w="1838" w:type="dxa"/>
          </w:tcPr>
          <w:p w14:paraId="2F9D7162" w14:textId="77777777" w:rsidR="00B77A11" w:rsidRDefault="00B77A11" w:rsidP="00BF7B82">
            <w:pPr>
              <w:spacing w:after="120"/>
            </w:pPr>
          </w:p>
        </w:tc>
        <w:tc>
          <w:tcPr>
            <w:tcW w:w="6095" w:type="dxa"/>
          </w:tcPr>
          <w:p w14:paraId="46138728" w14:textId="77777777" w:rsidR="00B77A11" w:rsidRDefault="00B77A11" w:rsidP="00BF7B82">
            <w:pPr>
              <w:spacing w:after="120"/>
              <w:rPr>
                <w:lang w:eastAsia="zh-CN"/>
              </w:rPr>
            </w:pPr>
          </w:p>
        </w:tc>
      </w:tr>
      <w:tr w:rsidR="00B77A11" w14:paraId="0E50D88D" w14:textId="77777777" w:rsidTr="00BF7B82">
        <w:tc>
          <w:tcPr>
            <w:tcW w:w="1838" w:type="dxa"/>
          </w:tcPr>
          <w:p w14:paraId="6479B6E6" w14:textId="77777777" w:rsidR="00B77A11" w:rsidRDefault="00B77A11" w:rsidP="00BF7B82">
            <w:pPr>
              <w:spacing w:after="120"/>
            </w:pPr>
          </w:p>
        </w:tc>
        <w:tc>
          <w:tcPr>
            <w:tcW w:w="6095" w:type="dxa"/>
          </w:tcPr>
          <w:p w14:paraId="2C6A8A85" w14:textId="77777777" w:rsidR="00B77A11" w:rsidRDefault="00B77A11" w:rsidP="00BF7B82">
            <w:pPr>
              <w:spacing w:after="120"/>
            </w:pPr>
          </w:p>
        </w:tc>
      </w:tr>
      <w:tr w:rsidR="00B77A11" w14:paraId="2C9B6EBC" w14:textId="77777777" w:rsidTr="00BF7B82">
        <w:tc>
          <w:tcPr>
            <w:tcW w:w="1838" w:type="dxa"/>
          </w:tcPr>
          <w:p w14:paraId="4E905098" w14:textId="77777777" w:rsidR="00B77A11" w:rsidRDefault="00B77A11" w:rsidP="00BF7B82">
            <w:pPr>
              <w:spacing w:after="120"/>
            </w:pPr>
          </w:p>
        </w:tc>
        <w:tc>
          <w:tcPr>
            <w:tcW w:w="6095" w:type="dxa"/>
          </w:tcPr>
          <w:p w14:paraId="1170B9FA" w14:textId="77777777" w:rsidR="00B77A11" w:rsidRDefault="00B77A11" w:rsidP="00BF7B82">
            <w:pPr>
              <w:spacing w:after="120"/>
            </w:pPr>
          </w:p>
        </w:tc>
      </w:tr>
      <w:tr w:rsidR="00B77A11" w14:paraId="5AB601DA" w14:textId="77777777" w:rsidTr="00BF7B82">
        <w:tc>
          <w:tcPr>
            <w:tcW w:w="1838" w:type="dxa"/>
          </w:tcPr>
          <w:p w14:paraId="61F3DDA3" w14:textId="77777777" w:rsidR="00B77A11" w:rsidRDefault="00B77A11" w:rsidP="00BF7B82">
            <w:pPr>
              <w:spacing w:after="120"/>
            </w:pPr>
          </w:p>
        </w:tc>
        <w:tc>
          <w:tcPr>
            <w:tcW w:w="6095" w:type="dxa"/>
          </w:tcPr>
          <w:p w14:paraId="638AB105" w14:textId="77777777" w:rsidR="00B77A11" w:rsidRDefault="00B77A11" w:rsidP="00BF7B82">
            <w:pPr>
              <w:spacing w:after="120"/>
            </w:pPr>
          </w:p>
        </w:tc>
      </w:tr>
      <w:tr w:rsidR="00B77A11" w14:paraId="619BB67C" w14:textId="77777777" w:rsidTr="00BF7B82">
        <w:tc>
          <w:tcPr>
            <w:tcW w:w="1838" w:type="dxa"/>
          </w:tcPr>
          <w:p w14:paraId="1371FDC3" w14:textId="77777777" w:rsidR="00B77A11" w:rsidRDefault="00B77A11" w:rsidP="00BF7B82">
            <w:pPr>
              <w:spacing w:after="120"/>
              <w:rPr>
                <w:lang w:eastAsia="zh-CN"/>
              </w:rPr>
            </w:pPr>
          </w:p>
        </w:tc>
        <w:tc>
          <w:tcPr>
            <w:tcW w:w="6095" w:type="dxa"/>
          </w:tcPr>
          <w:p w14:paraId="1720D518" w14:textId="77777777" w:rsidR="00B77A11" w:rsidRDefault="00B77A11" w:rsidP="00BF7B82">
            <w:pPr>
              <w:spacing w:after="120"/>
              <w:rPr>
                <w:lang w:eastAsia="zh-CN"/>
              </w:rPr>
            </w:pPr>
          </w:p>
        </w:tc>
      </w:tr>
      <w:tr w:rsidR="00B77A11" w14:paraId="0EB386B9" w14:textId="77777777" w:rsidTr="00BF7B82">
        <w:tc>
          <w:tcPr>
            <w:tcW w:w="1838" w:type="dxa"/>
          </w:tcPr>
          <w:p w14:paraId="2DB498CD" w14:textId="77777777" w:rsidR="00B77A11" w:rsidRDefault="00B77A11" w:rsidP="00BF7B82">
            <w:pPr>
              <w:spacing w:after="120"/>
              <w:rPr>
                <w:lang w:eastAsia="zh-CN"/>
              </w:rPr>
            </w:pPr>
          </w:p>
        </w:tc>
        <w:tc>
          <w:tcPr>
            <w:tcW w:w="6095" w:type="dxa"/>
          </w:tcPr>
          <w:p w14:paraId="0456BD94" w14:textId="77777777" w:rsidR="00B77A11" w:rsidRDefault="00B77A11" w:rsidP="00BF7B82">
            <w:pPr>
              <w:spacing w:after="120"/>
              <w:rPr>
                <w:lang w:eastAsia="zh-CN"/>
              </w:rPr>
            </w:pPr>
          </w:p>
        </w:tc>
      </w:tr>
      <w:tr w:rsidR="00B77A11" w14:paraId="21C6A549" w14:textId="77777777" w:rsidTr="00BF7B82">
        <w:tc>
          <w:tcPr>
            <w:tcW w:w="1838" w:type="dxa"/>
          </w:tcPr>
          <w:p w14:paraId="18442447" w14:textId="77777777" w:rsidR="00B77A11" w:rsidRDefault="00B77A11" w:rsidP="00BF7B82">
            <w:pPr>
              <w:spacing w:after="120"/>
              <w:rPr>
                <w:lang w:eastAsia="zh-CN"/>
              </w:rPr>
            </w:pPr>
          </w:p>
        </w:tc>
        <w:tc>
          <w:tcPr>
            <w:tcW w:w="6095" w:type="dxa"/>
          </w:tcPr>
          <w:p w14:paraId="09306CB2" w14:textId="77777777" w:rsidR="00B77A11" w:rsidRDefault="00B77A11" w:rsidP="00BF7B82">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bookmarkStart w:id="6" w:name="_GoBack"/>
      <w:bookmarkEnd w:id="6"/>
    </w:p>
    <w:p w14:paraId="6B6D8334" w14:textId="77777777" w:rsidR="0045661D" w:rsidRDefault="00AE0EF7">
      <w:pPr>
        <w:pStyle w:val="Heading1"/>
      </w:pPr>
      <w:r>
        <w:lastRenderedPageBreak/>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7" w:name="_Ref1"/>
    <w:bookmarkStart w:id="8"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2">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7"/>
    </w:p>
    <w:bookmarkStart w:id="9"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3">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9"/>
    </w:p>
    <w:bookmarkStart w:id="10"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4">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10"/>
    </w:p>
    <w:bookmarkStart w:id="11"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5">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11"/>
    </w:p>
    <w:bookmarkStart w:id="12"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2"/>
    </w:p>
    <w:bookmarkStart w:id="13"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7">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3"/>
    </w:p>
    <w:bookmarkStart w:id="14"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18">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14"/>
    </w:p>
    <w:bookmarkStart w:id="15"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5"/>
    </w:p>
    <w:bookmarkStart w:id="16"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0">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6"/>
    </w:p>
    <w:bookmarkStart w:id="17"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1">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7"/>
    </w:p>
    <w:bookmarkStart w:id="18"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2">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8"/>
    </w:p>
    <w:bookmarkStart w:id="19"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3">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19"/>
    </w:p>
    <w:bookmarkStart w:id="20"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4">
        <w:r>
          <w:rPr>
            <w:rStyle w:val="Hyperlink"/>
            <w:color w:val="0563C1" w:themeColor="hyperlink"/>
          </w:rPr>
          <w:t>Remaining issues on configuration and reporting</w:t>
        </w:r>
      </w:hyperlink>
      <w:r>
        <w:t>, CMCC, RAN2#116e, e, November 2021</w:t>
      </w:r>
      <w:bookmarkEnd w:id="20"/>
    </w:p>
    <w:bookmarkStart w:id="21"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5">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1"/>
    </w:p>
    <w:bookmarkStart w:id="22"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6">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22"/>
    </w:p>
    <w:bookmarkStart w:id="23"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7">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8"/>
      <w:bookmarkEnd w:id="23"/>
    </w:p>
    <w:sectPr w:rsidR="0045661D">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AFBC" w14:textId="77777777" w:rsidR="00070C23" w:rsidRDefault="00070C23">
      <w:pPr>
        <w:spacing w:after="0" w:line="240" w:lineRule="auto"/>
      </w:pPr>
      <w:r>
        <w:separator/>
      </w:r>
    </w:p>
  </w:endnote>
  <w:endnote w:type="continuationSeparator" w:id="0">
    <w:p w14:paraId="1E816B48" w14:textId="77777777" w:rsidR="00070C23" w:rsidRDefault="00070C23">
      <w:pPr>
        <w:spacing w:after="0" w:line="240" w:lineRule="auto"/>
      </w:pPr>
      <w:r>
        <w:continuationSeparator/>
      </w:r>
    </w:p>
  </w:endnote>
  <w:endnote w:type="continuationNotice" w:id="1">
    <w:p w14:paraId="4680C5E0" w14:textId="77777777" w:rsidR="00070C23" w:rsidRDefault="00070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2983" w14:textId="77777777" w:rsidR="00AD3ED0" w:rsidRDefault="00AD3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4AB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4AB3">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CC08" w14:textId="77777777" w:rsidR="00AD3ED0" w:rsidRDefault="00AD3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D413E" w14:textId="77777777" w:rsidR="00070C23" w:rsidRDefault="00070C23">
      <w:pPr>
        <w:spacing w:after="0" w:line="240" w:lineRule="auto"/>
      </w:pPr>
      <w:r>
        <w:separator/>
      </w:r>
    </w:p>
  </w:footnote>
  <w:footnote w:type="continuationSeparator" w:id="0">
    <w:p w14:paraId="7BBC76D3" w14:textId="77777777" w:rsidR="00070C23" w:rsidRDefault="00070C23">
      <w:pPr>
        <w:spacing w:after="0" w:line="240" w:lineRule="auto"/>
      </w:pPr>
      <w:r>
        <w:continuationSeparator/>
      </w:r>
    </w:p>
  </w:footnote>
  <w:footnote w:type="continuationNotice" w:id="1">
    <w:p w14:paraId="6BEB2661" w14:textId="77777777" w:rsidR="00070C23" w:rsidRDefault="00070C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45661D" w:rsidRDefault="00AE0EF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4280" w14:textId="77777777" w:rsidR="00AD3ED0" w:rsidRDefault="00AD3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C1C0" w14:textId="77777777" w:rsidR="00AD3ED0" w:rsidRDefault="00AD3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6"/>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0C23"/>
    <w:rsid w:val="00073251"/>
    <w:rsid w:val="00077E5F"/>
    <w:rsid w:val="0008036A"/>
    <w:rsid w:val="00081AE6"/>
    <w:rsid w:val="000855EB"/>
    <w:rsid w:val="00085B52"/>
    <w:rsid w:val="000866F2"/>
    <w:rsid w:val="0009009F"/>
    <w:rsid w:val="00091557"/>
    <w:rsid w:val="000924C1"/>
    <w:rsid w:val="000924F0"/>
    <w:rsid w:val="00092725"/>
    <w:rsid w:val="00093474"/>
    <w:rsid w:val="0009510F"/>
    <w:rsid w:val="000A1B7B"/>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1E50"/>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89"/>
    <w:rsid w:val="002500C8"/>
    <w:rsid w:val="00257543"/>
    <w:rsid w:val="002617E7"/>
    <w:rsid w:val="00264228"/>
    <w:rsid w:val="00264334"/>
    <w:rsid w:val="0026473E"/>
    <w:rsid w:val="00266214"/>
    <w:rsid w:val="00267C7C"/>
    <w:rsid w:val="00267C83"/>
    <w:rsid w:val="0027144F"/>
    <w:rsid w:val="00271813"/>
    <w:rsid w:val="00271F3A"/>
    <w:rsid w:val="00273278"/>
    <w:rsid w:val="002737F4"/>
    <w:rsid w:val="002805F5"/>
    <w:rsid w:val="00280751"/>
    <w:rsid w:val="0028280A"/>
    <w:rsid w:val="00286ACD"/>
    <w:rsid w:val="00287838"/>
    <w:rsid w:val="002907B5"/>
    <w:rsid w:val="0029128F"/>
    <w:rsid w:val="00292EB7"/>
    <w:rsid w:val="00296227"/>
    <w:rsid w:val="00296F44"/>
    <w:rsid w:val="0029777D"/>
    <w:rsid w:val="002A055E"/>
    <w:rsid w:val="002A1D4E"/>
    <w:rsid w:val="002A2869"/>
    <w:rsid w:val="002A4D23"/>
    <w:rsid w:val="002B24D6"/>
    <w:rsid w:val="002C0F64"/>
    <w:rsid w:val="002C41E6"/>
    <w:rsid w:val="002C6674"/>
    <w:rsid w:val="002D071A"/>
    <w:rsid w:val="002D34B2"/>
    <w:rsid w:val="002D48B0"/>
    <w:rsid w:val="002D5B37"/>
    <w:rsid w:val="002D6F5F"/>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4B66"/>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0F7D"/>
    <w:rsid w:val="004517AA"/>
    <w:rsid w:val="00452CAC"/>
    <w:rsid w:val="0045661D"/>
    <w:rsid w:val="00457565"/>
    <w:rsid w:val="00457B71"/>
    <w:rsid w:val="00466665"/>
    <w:rsid w:val="004669E2"/>
    <w:rsid w:val="00470C31"/>
    <w:rsid w:val="00471DE0"/>
    <w:rsid w:val="004734D0"/>
    <w:rsid w:val="004734E3"/>
    <w:rsid w:val="0047556B"/>
    <w:rsid w:val="00476C82"/>
    <w:rsid w:val="00477284"/>
    <w:rsid w:val="00477768"/>
    <w:rsid w:val="00492BC5"/>
    <w:rsid w:val="0049549C"/>
    <w:rsid w:val="00495B15"/>
    <w:rsid w:val="004964F1"/>
    <w:rsid w:val="004A16BC"/>
    <w:rsid w:val="004A1928"/>
    <w:rsid w:val="004A2B94"/>
    <w:rsid w:val="004A53C7"/>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0071"/>
    <w:rsid w:val="005219CF"/>
    <w:rsid w:val="00531A07"/>
    <w:rsid w:val="00534B59"/>
    <w:rsid w:val="00536759"/>
    <w:rsid w:val="00537C62"/>
    <w:rsid w:val="00546970"/>
    <w:rsid w:val="00554E19"/>
    <w:rsid w:val="005579F2"/>
    <w:rsid w:val="0056121F"/>
    <w:rsid w:val="0056401F"/>
    <w:rsid w:val="00572505"/>
    <w:rsid w:val="00582809"/>
    <w:rsid w:val="0058798C"/>
    <w:rsid w:val="00587EDE"/>
    <w:rsid w:val="005900FA"/>
    <w:rsid w:val="005935A4"/>
    <w:rsid w:val="005948C2"/>
    <w:rsid w:val="00595DCA"/>
    <w:rsid w:val="005962EE"/>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51A8"/>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042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2429"/>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260F"/>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5E29"/>
    <w:rsid w:val="009B1F30"/>
    <w:rsid w:val="009B3AC2"/>
    <w:rsid w:val="009B4DF4"/>
    <w:rsid w:val="009B564E"/>
    <w:rsid w:val="009B7E87"/>
    <w:rsid w:val="009C0169"/>
    <w:rsid w:val="009C403E"/>
    <w:rsid w:val="009D1DE0"/>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509F"/>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6BE0"/>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4A74"/>
    <w:rsid w:val="00C75D2F"/>
    <w:rsid w:val="00C767BE"/>
    <w:rsid w:val="00C76E3C"/>
    <w:rsid w:val="00C81568"/>
    <w:rsid w:val="00C9027A"/>
    <w:rsid w:val="00C9068E"/>
    <w:rsid w:val="00C93814"/>
    <w:rsid w:val="00C93C4B"/>
    <w:rsid w:val="00C944AB"/>
    <w:rsid w:val="00C95B40"/>
    <w:rsid w:val="00CA1ED8"/>
    <w:rsid w:val="00CA41FE"/>
    <w:rsid w:val="00CA5BD6"/>
    <w:rsid w:val="00CA67E6"/>
    <w:rsid w:val="00CB1F63"/>
    <w:rsid w:val="00CB7170"/>
    <w:rsid w:val="00CC040E"/>
    <w:rsid w:val="00CC111F"/>
    <w:rsid w:val="00CC2011"/>
    <w:rsid w:val="00CC33D8"/>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15C"/>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1395"/>
    <w:rsid w:val="00DC257C"/>
    <w:rsid w:val="00DC2D36"/>
    <w:rsid w:val="00DC53EF"/>
    <w:rsid w:val="00DD753D"/>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65"/>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616"/>
    <w:rsid w:val="00F27E67"/>
    <w:rsid w:val="00F30828"/>
    <w:rsid w:val="00F313D6"/>
    <w:rsid w:val="00F34AB3"/>
    <w:rsid w:val="00F35B6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5A7"/>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_RAN1\RAN2_116e_e\8.14.2\R2-2109662%20Intel%20QoE%20measurement%20configuration%20and%20general%20aspects.docx" TargetMode="External"/><Relationship Id="rId18" Type="http://schemas.openxmlformats.org/officeDocument/2006/relationships/hyperlink" Target="file:///c:\3GPP_RAN1\RAN2_116e_e\8.14.2\R2-2110073%20Apple%20Supporting%20mobility%20for%20NR%20QoE.docx" TargetMode="External"/><Relationship Id="rId26" Type="http://schemas.openxmlformats.org/officeDocument/2006/relationships/hyperlink" Target="file:///c:\3GPP_RAN1\RAN2_116e_e\8.14.2\R2-2111133%20Samsung%20RRC%20segmentation%20for%20QoE%20configuration%20and%20report.docx" TargetMode="External"/><Relationship Id="rId3" Type="http://schemas.openxmlformats.org/officeDocument/2006/relationships/customXml" Target="../customXml/item3.xml"/><Relationship Id="rId21" Type="http://schemas.openxmlformats.org/officeDocument/2006/relationships/hyperlink" Target="file:///c:\3GPP_RAN1\RAN2_116e_e\8.14.2\R2-2110720%20Nokia%20QoE%20configuration%20handling.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6e_e\8.14.2\R2-2109565%20Qualcomm%20QoE%20configuration,%20reporting%20and%20mobility.docx" TargetMode="External"/><Relationship Id="rId17" Type="http://schemas.openxmlformats.org/officeDocument/2006/relationships/hyperlink" Target="file:///c:\3GPP_RAN1\RAN2_116e_e\8.14.2\R2-2109984%20vivo%20Discussion%20on%20QoE%20configuration.docx" TargetMode="External"/><Relationship Id="rId25" Type="http://schemas.openxmlformats.org/officeDocument/2006/relationships/hyperlink" Target="file:///c:\3GPP_RAN1\RAN2_116e_e\8.14.2\R2-2111132%20Samsung%20QoE%20configuration%20in%20general%20aspects.doc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3GPP_RAN1\RAN2_116e_e\8.14.2\R2-2109867%20Ericsson%20QoE%20measurements%20at%20handover,%20resume%20and%20re-establishment.docx" TargetMode="External"/><Relationship Id="rId20" Type="http://schemas.openxmlformats.org/officeDocument/2006/relationships/hyperlink" Target="file:///c:\3GPP_RAN1\RAN2_116e_e\8.14.2\R2-2110605%20Huawei%20Discussion%20on%20QoE%20measurement%20configuration%20and%20reporting.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1062%20CMCC%20Remaining%20issues%20on%20configuration%20and%20reporting.docx"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3GPP_RAN1\RAN2_116e_e\8.14.2\R2-2109866%20Ericsson%20Configuration%20and%20reporting%20of%20QoE%20measurements.docx" TargetMode="External"/><Relationship Id="rId23" Type="http://schemas.openxmlformats.org/officeDocument/2006/relationships/hyperlink" Target="file:///c:\3GPP_RAN1\RAN2_116e_e\8.14.2\R2-2110993%20CATT%20Discussion%20on%20NR%20QoE%20configuration.doc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3GPP_RAN1\RAN2_116e_e\8.14.2\R2-2110099%20OPPO%20Discussion%20on%20QoE%20measurement%20collection%20in%20NR.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832%20Lenovo%20Further%20discussion%20on%20transmission%20of%20QoE%20reports.docx" TargetMode="External"/><Relationship Id="rId22" Type="http://schemas.openxmlformats.org/officeDocument/2006/relationships/hyperlink" Target="file:///c:\3GPP_RAN1\RAN2_116e_e\8.14.2\R2-2110991%20ZTE%20Discussion%20on%20NR%20QoE%20configuration.docx" TargetMode="External"/><Relationship Id="rId27" Type="http://schemas.openxmlformats.org/officeDocument/2006/relationships/hyperlink" Target="file:///c:\3GPP_RAN1\RAN2_116e_e\8.14.2\R2-2111188%20China%20Discussion%20on%20NR%20QoE%20measurement%20and%20configurations.docx" TargetMode="External"/><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C4426C-B561-4178-A588-F900B172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41</TotalTime>
  <Pages>11</Pages>
  <Words>3815</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Ericsson2</cp:lastModifiedBy>
  <cp:revision>11</cp:revision>
  <cp:lastPrinted>2008-01-31T07:09:00Z</cp:lastPrinted>
  <dcterms:created xsi:type="dcterms:W3CDTF">2021-12-01T15:32:00Z</dcterms:created>
  <dcterms:modified xsi:type="dcterms:W3CDTF">2021-12-02T12:41:00Z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