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-e][8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77777777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the following email discussion [1]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BF65CC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맑은 고딕" w:cs="Arial" w:hint="eastAsia"/>
                <w:sz w:val="20"/>
                <w:szCs w:val="20"/>
                <w:lang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맑은 고딕" w:cs="Arial" w:hint="eastAsia"/>
                <w:sz w:val="20"/>
                <w:szCs w:val="20"/>
                <w:lang w:eastAsia="ko-KR"/>
              </w:rPr>
            </w:pPr>
            <w:r>
              <w:rPr>
                <w:rFonts w:eastAsia="맑은 고딕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맑은 고딕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BF65CC" w14:paraId="13358CA0" w14:textId="77777777">
        <w:tc>
          <w:tcPr>
            <w:tcW w:w="2358" w:type="dxa"/>
          </w:tcPr>
          <w:p w14:paraId="13358C9E" w14:textId="38E01C0B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13358C9F" w14:textId="56C40426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6D7C16" w:rsidRPr="00BF65CC" w14:paraId="13358CA3" w14:textId="77777777">
        <w:tc>
          <w:tcPr>
            <w:tcW w:w="2358" w:type="dxa"/>
          </w:tcPr>
          <w:p w14:paraId="13358CA1" w14:textId="14CADAFD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  <w:tc>
          <w:tcPr>
            <w:tcW w:w="7271" w:type="dxa"/>
          </w:tcPr>
          <w:p w14:paraId="13358CA2" w14:textId="08A09D9A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6D7C16" w:rsidRPr="00BF65CC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BF65CC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SimSun" w:cs="Arial"/>
                <w:szCs w:val="20"/>
                <w:lang w:eastAsia="zh-CN"/>
              </w:rPr>
            </w:pPr>
          </w:p>
        </w:tc>
      </w:tr>
      <w:tr w:rsidR="006D7C16" w:rsidRPr="00BF65CC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맑은 고딕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맑은 고딕" w:cs="Arial"/>
                <w:lang w:eastAsia="ko-KR"/>
              </w:rPr>
            </w:pPr>
          </w:p>
        </w:tc>
      </w:tr>
      <w:tr w:rsidR="006D7C16" w:rsidRPr="00BF65CC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BF65CC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BF65CC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BF65CC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r w:rsidR="006D1072" w:rsidRPr="006D1072">
        <w:rPr>
          <w:rFonts w:ascii="Arial" w:hAnsi="Arial" w:cs="Arial"/>
          <w:i/>
          <w:lang w:val="en-US" w:eastAsia="zh-CN"/>
        </w:rPr>
        <w:t>msgA-RSRP-ThresholdSSB</w:t>
      </w:r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SimSu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lastRenderedPageBreak/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r w:rsidRPr="001A4916">
        <w:rPr>
          <w:rFonts w:ascii="Arial" w:hAnsi="Arial" w:cs="Arial"/>
          <w:i/>
          <w:lang w:val="en-US" w:eastAsia="zh-CN"/>
        </w:rPr>
        <w:t>rsrp-ThresholdSSB</w:t>
      </w:r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r w:rsidRPr="001A4916">
        <w:rPr>
          <w:rFonts w:ascii="Arial" w:hAnsi="Arial" w:cs="Arial"/>
          <w:i/>
          <w:lang w:val="en-US" w:eastAsia="zh-CN"/>
        </w:rPr>
        <w:t>beamFailureRecoveryConfig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r w:rsidRPr="006D1072">
        <w:rPr>
          <w:rFonts w:ascii="Arial" w:hAnsi="Arial" w:cs="Arial"/>
          <w:i/>
          <w:lang w:val="en-US" w:eastAsia="zh-CN"/>
        </w:rPr>
        <w:t>msgA-RSRP-ThresholdSSB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RACH-ConfigCommonTwoStepRA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in </w:t>
            </w:r>
            <w:r w:rsidRPr="001D62EC">
              <w:rPr>
                <w:rFonts w:ascii="Arial" w:eastAsia="맑은 고딕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 in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맑은 고딕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msgA-RSRP-ThresholdSSB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r>
              <w:rPr>
                <w:rFonts w:ascii="Arial" w:eastAsia="맑은 고딕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RA-InformationCommon</w:t>
      </w:r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...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US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>whether the DL beam quality, associated to the used 2 step RA resource, is above or below the msgA-RSRP-ThresholdSSB</w:t>
      </w:r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r w:rsidRPr="001B603B">
        <w:rPr>
          <w:rFonts w:ascii="Arial" w:hAnsi="Arial" w:cs="Arial"/>
          <w:i/>
          <w:lang w:val="en-US" w:eastAsia="zh-CN"/>
        </w:rPr>
        <w:t>msgA-RSRP-ThresholdSSB</w:t>
      </w:r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SimSu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d"/>
              <w:ind w:left="0"/>
              <w:rPr>
                <w:rFonts w:ascii="Arial" w:eastAsia="맑은 고딕" w:hAnsi="Arial" w:cs="Arial" w:hint="eastAsia"/>
                <w:b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60B565CC" w14:textId="4B2B94F3" w:rsidR="009C619B" w:rsidRPr="00BF65CC" w:rsidRDefault="00BF65CC" w:rsidP="00F35D27">
            <w:pPr>
              <w:spacing w:after="0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57C339F1" w14:textId="79089455" w:rsidR="00BF65CC" w:rsidRDefault="00BF65CC" w:rsidP="00BF65CC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lang w:val="en-US" w:eastAsia="ko-KR"/>
              </w:rPr>
              <w:t>We have assumed that</w:t>
            </w:r>
            <w:r w:rsidRPr="00BF65CC">
              <w:rPr>
                <w:rFonts w:ascii="Arial" w:eastAsia="맑은 고딕" w:hAnsi="Arial" w:cs="Arial" w:hint="eastAsia"/>
                <w:lang w:val="en-US" w:eastAsia="ko-KR"/>
              </w:rPr>
              <w:t xml:space="preserve"> the</w:t>
            </w:r>
            <w:r w:rsidRPr="00BF65CC">
              <w:rPr>
                <w:rFonts w:ascii="Arial" w:eastAsia="맑은 고딕" w:hAnsi="Arial" w:cs="Arial"/>
                <w:lang w:val="en-US" w:eastAsia="ko-KR"/>
              </w:rPr>
              <w:t xml:space="preserve"> analysis of</w:t>
            </w:r>
            <w:r w:rsidRPr="00BF65CC">
              <w:rPr>
                <w:rFonts w:ascii="Arial" w:eastAsia="맑은 고딕" w:hAnsi="Arial" w:cs="Arial" w:hint="eastAsia"/>
                <w:lang w:val="en-US" w:eastAsia="ko-KR"/>
              </w:rPr>
              <w:t xml:space="preserve"> bits consumption</w:t>
            </w:r>
            <w:r w:rsidRPr="00BF65CC">
              <w:rPr>
                <w:rFonts w:ascii="Arial" w:eastAsia="맑은 고딕" w:hAnsi="Arial" w:cs="Arial"/>
                <w:lang w:val="en-US" w:eastAsia="ko-KR"/>
              </w:rPr>
              <w:t xml:space="preserve"> is correct.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However, we are not sure if the option 2 can fully cover the original intention indicating </w:t>
            </w:r>
            <w:r w:rsidR="00863FA6">
              <w:rPr>
                <w:rFonts w:ascii="Arial" w:eastAsia="맑은 고딕" w:hAnsi="Arial" w:cs="Arial"/>
                <w:lang w:val="en-US" w:eastAsia="ko-KR"/>
              </w:rPr>
              <w:t>whether to switch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</w:t>
            </w:r>
            <w:r w:rsidR="00863FA6">
              <w:rPr>
                <w:rFonts w:ascii="Arial" w:eastAsia="맑은 고딕" w:hAnsi="Arial" w:cs="Arial"/>
                <w:lang w:val="en-US" w:eastAsia="ko-KR"/>
              </w:rPr>
              <w:t>to 4RA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. </w:t>
            </w:r>
          </w:p>
          <w:p w14:paraId="46CBA4CD" w14:textId="77777777" w:rsidR="00BF65CC" w:rsidRDefault="00BF65CC" w:rsidP="00BF65CC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</w:p>
          <w:p w14:paraId="0BBB013B" w14:textId="710E2E58" w:rsidR="00BF65CC" w:rsidRDefault="00BF65CC" w:rsidP="00BF65CC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  <w:r>
              <w:rPr>
                <w:rFonts w:ascii="Arial" w:eastAsia="맑은 고딕" w:hAnsi="Arial" w:cs="Arial"/>
                <w:lang w:val="en-US" w:eastAsia="ko-KR"/>
              </w:rPr>
              <w:t>For instance, when UE has received no RAR corresponding to the UE</w:t>
            </w:r>
            <w:r w:rsidR="00863FA6">
              <w:rPr>
                <w:rFonts w:ascii="Arial" w:eastAsia="맑은 고딕" w:hAnsi="Arial" w:cs="Arial"/>
                <w:lang w:val="en-US" w:eastAsia="ko-KR"/>
              </w:rPr>
              <w:t>’s preamble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Default="00BF65CC" w:rsidP="00BF65CC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  <w:r>
              <w:rPr>
                <w:rFonts w:ascii="Arial" w:eastAsia="맑은 고딕" w:hAnsi="Arial" w:cs="Arial"/>
                <w:lang w:val="en-US" w:eastAsia="ko-KR"/>
              </w:rPr>
              <w:t>In other words, UE can switch 2RA to 4RA, due to the RA resource Selection process</w:t>
            </w:r>
            <w:r w:rsidR="00863FA6">
              <w:rPr>
                <w:rFonts w:ascii="Arial" w:eastAsia="맑은 고딕" w:hAnsi="Arial" w:cs="Arial"/>
                <w:lang w:val="en-US" w:eastAsia="ko-KR"/>
              </w:rPr>
              <w:t>,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as well as </w:t>
            </w:r>
            <w:r w:rsidR="00863FA6">
              <w:rPr>
                <w:rFonts w:ascii="Arial" w:eastAsia="맑은 고딕" w:hAnsi="Arial" w:cs="Arial"/>
                <w:lang w:val="en-US" w:eastAsia="ko-KR"/>
              </w:rPr>
              <w:t>reaching to msgA-TransMax.</w:t>
            </w:r>
          </w:p>
          <w:p w14:paraId="2FC4B9EB" w14:textId="40901EBB" w:rsidR="00BF65CC" w:rsidRDefault="00863FA6" w:rsidP="00BF65CC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lang w:val="en-US" w:eastAsia="ko-KR"/>
              </w:rPr>
              <w:t xml:space="preserve">Thus, 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we don’t think that </w:t>
            </w:r>
            <w:r>
              <w:rPr>
                <w:rFonts w:ascii="Arial" w:eastAsia="맑은 고딕" w:hAnsi="Arial" w:cs="Arial" w:hint="eastAsia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맑은 고딕" w:hAnsi="Arial" w:cs="Arial" w:hint="eastAsia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7777777" w:rsidR="009C619B" w:rsidRDefault="009C619B" w:rsidP="00F35D2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ED0BFE2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595E33F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619B" w14:paraId="321E043D" w14:textId="77777777" w:rsidTr="00F35D27">
        <w:tc>
          <w:tcPr>
            <w:tcW w:w="1979" w:type="dxa"/>
          </w:tcPr>
          <w:p w14:paraId="294BA873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68A17E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C491E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4D40F0" w14:textId="77777777" w:rsidTr="00F35D27">
        <w:tc>
          <w:tcPr>
            <w:tcW w:w="1979" w:type="dxa"/>
          </w:tcPr>
          <w:p w14:paraId="4495704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011EA6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018B64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59F7FE2C" w14:textId="77777777" w:rsidTr="00F35D27">
        <w:tc>
          <w:tcPr>
            <w:tcW w:w="1979" w:type="dxa"/>
          </w:tcPr>
          <w:p w14:paraId="66C1073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CE8F42" w14:textId="77777777" w:rsidTr="00F35D27">
        <w:tc>
          <w:tcPr>
            <w:tcW w:w="1979" w:type="dxa"/>
          </w:tcPr>
          <w:p w14:paraId="19DED12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321AECD" w14:textId="77777777" w:rsidTr="00F35D27">
        <w:tc>
          <w:tcPr>
            <w:tcW w:w="1979" w:type="dxa"/>
          </w:tcPr>
          <w:p w14:paraId="475AA1AE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2260ABF" w14:textId="77777777" w:rsidTr="00F35D27">
        <w:tc>
          <w:tcPr>
            <w:tcW w:w="1979" w:type="dxa"/>
          </w:tcPr>
          <w:p w14:paraId="3E3BAFA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3B254C8C" w14:textId="77777777" w:rsidTr="00F35D27">
        <w:tc>
          <w:tcPr>
            <w:tcW w:w="1979" w:type="dxa"/>
          </w:tcPr>
          <w:p w14:paraId="68773C0B" w14:textId="77777777" w:rsidR="009C619B" w:rsidRDefault="009C619B" w:rsidP="00F35D27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9C619B" w:rsidRDefault="009C619B" w:rsidP="00F35D2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9C619B" w:rsidRDefault="009C619B" w:rsidP="00F35D2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0EE2B7D" w14:textId="77777777" w:rsidTr="00F35D27">
        <w:tc>
          <w:tcPr>
            <w:tcW w:w="1979" w:type="dxa"/>
          </w:tcPr>
          <w:p w14:paraId="20F65AA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D25DDE8" w14:textId="77777777" w:rsidTr="00F35D27">
        <w:tc>
          <w:tcPr>
            <w:tcW w:w="1979" w:type="dxa"/>
          </w:tcPr>
          <w:p w14:paraId="4C06FF59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651D09B9" w14:textId="77777777" w:rsidTr="00F35D27">
        <w:tc>
          <w:tcPr>
            <w:tcW w:w="1979" w:type="dxa"/>
          </w:tcPr>
          <w:p w14:paraId="60BF0DC8" w14:textId="77777777" w:rsidR="009C619B" w:rsidRPr="00452898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0019006E" w14:textId="77777777" w:rsidTr="00F35D27">
        <w:tc>
          <w:tcPr>
            <w:tcW w:w="1979" w:type="dxa"/>
          </w:tcPr>
          <w:p w14:paraId="260AE29D" w14:textId="77777777" w:rsidR="009C619B" w:rsidRPr="002437E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Pr="009A0F3B">
        <w:rPr>
          <w:rFonts w:ascii="Arial" w:hAnsi="Arial" w:cs="Arial"/>
          <w:sz w:val="20"/>
          <w:lang w:val="en-US" w:eastAsia="zh-CN"/>
        </w:rPr>
        <w:t xml:space="preserve">PerRAAttemptInfo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d"/>
              <w:ind w:left="0"/>
              <w:rPr>
                <w:rFonts w:ascii="Arial" w:eastAsia="맑은 고딕" w:hAnsi="Arial" w:cs="Arial" w:hint="eastAsia"/>
                <w:b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239B2E61" w14:textId="44D5AC91" w:rsidR="003A5BC5" w:rsidRPr="00BF65CC" w:rsidRDefault="00BF65CC" w:rsidP="00FB1CF6">
            <w:pPr>
              <w:spacing w:after="0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Option 1</w:t>
            </w:r>
          </w:p>
        </w:tc>
        <w:tc>
          <w:tcPr>
            <w:tcW w:w="5675" w:type="dxa"/>
          </w:tcPr>
          <w:p w14:paraId="70B653E3" w14:textId="77777777" w:rsidR="003A5BC5" w:rsidRDefault="00863FA6" w:rsidP="00863FA6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lang w:val="en-US" w:eastAsia="ko-KR"/>
              </w:rPr>
              <w:t xml:space="preserve">The option 1 is a </w:t>
            </w: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>clear solution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863FA6" w:rsidRDefault="00863FA6" w:rsidP="00863FA6">
            <w:pPr>
              <w:spacing w:after="0"/>
              <w:rPr>
                <w:rFonts w:ascii="Arial" w:eastAsia="맑은 고딕" w:hAnsi="Arial" w:cs="Arial" w:hint="eastAsia"/>
                <w:lang w:val="en-US" w:eastAsia="ko-KR"/>
              </w:rPr>
            </w:pPr>
            <w:r>
              <w:rPr>
                <w:rFonts w:ascii="Arial" w:eastAsia="맑은 고딕" w:hAnsi="Arial" w:cs="Arial"/>
                <w:lang w:val="en-US" w:eastAsia="ko-KR"/>
              </w:rPr>
              <w:t xml:space="preserve">Alternatively, </w:t>
            </w:r>
            <w:r>
              <w:rPr>
                <w:rFonts w:ascii="Arial" w:eastAsia="맑은 고딕" w:hAnsi="Arial" w:cs="Arial"/>
                <w:lang w:val="en-US" w:eastAsia="ko-KR"/>
              </w:rPr>
              <w:t>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77777777" w:rsidR="003A5BC5" w:rsidRDefault="003A5BC5" w:rsidP="00FB1CF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1DF791A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3D9B9E7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C5" w14:paraId="3CEC7F36" w14:textId="77777777" w:rsidTr="00FB1CF6">
        <w:tc>
          <w:tcPr>
            <w:tcW w:w="1979" w:type="dxa"/>
          </w:tcPr>
          <w:p w14:paraId="04971D3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495CF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D80453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6F382098" w14:textId="77777777" w:rsidTr="00FB1CF6">
        <w:tc>
          <w:tcPr>
            <w:tcW w:w="1979" w:type="dxa"/>
          </w:tcPr>
          <w:p w14:paraId="57D91CD9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348FB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E79517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48B10748" w14:textId="77777777" w:rsidTr="00FB1CF6">
        <w:tc>
          <w:tcPr>
            <w:tcW w:w="1979" w:type="dxa"/>
          </w:tcPr>
          <w:p w14:paraId="57474E8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30767AF3" w14:textId="77777777" w:rsidTr="00FB1CF6">
        <w:tc>
          <w:tcPr>
            <w:tcW w:w="1979" w:type="dxa"/>
          </w:tcPr>
          <w:p w14:paraId="4A7133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1BF5EDA3" w14:textId="77777777" w:rsidTr="00FB1CF6">
        <w:tc>
          <w:tcPr>
            <w:tcW w:w="1979" w:type="dxa"/>
          </w:tcPr>
          <w:p w14:paraId="4C579764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7D3B8E" w14:textId="77777777" w:rsidTr="00FB1CF6">
        <w:tc>
          <w:tcPr>
            <w:tcW w:w="1979" w:type="dxa"/>
          </w:tcPr>
          <w:p w14:paraId="44AA3C7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0E788615" w14:textId="77777777" w:rsidTr="00FB1CF6">
        <w:tc>
          <w:tcPr>
            <w:tcW w:w="1979" w:type="dxa"/>
          </w:tcPr>
          <w:p w14:paraId="4862BFDB" w14:textId="77777777" w:rsidR="003A5BC5" w:rsidRDefault="003A5BC5" w:rsidP="00FB1CF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3A5BC5" w:rsidRDefault="003A5BC5" w:rsidP="00FB1CF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3A5BC5" w:rsidRDefault="003A5BC5" w:rsidP="00FB1CF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268DDF" w14:textId="77777777" w:rsidTr="00FB1CF6">
        <w:tc>
          <w:tcPr>
            <w:tcW w:w="1979" w:type="dxa"/>
          </w:tcPr>
          <w:p w14:paraId="40BC9B56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506762C0" w14:textId="77777777" w:rsidTr="00FB1CF6">
        <w:tc>
          <w:tcPr>
            <w:tcW w:w="1979" w:type="dxa"/>
          </w:tcPr>
          <w:p w14:paraId="4B1D9E5F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FD9AF12" w14:textId="77777777" w:rsidTr="00FB1CF6">
        <w:tc>
          <w:tcPr>
            <w:tcW w:w="1979" w:type="dxa"/>
          </w:tcPr>
          <w:p w14:paraId="29443206" w14:textId="77777777" w:rsidR="003A5BC5" w:rsidRPr="00452898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79F4690" w14:textId="77777777" w:rsidTr="00FB1CF6">
        <w:tc>
          <w:tcPr>
            <w:tcW w:w="1979" w:type="dxa"/>
          </w:tcPr>
          <w:p w14:paraId="4D1E1BB5" w14:textId="77777777" w:rsidR="003A5BC5" w:rsidRPr="002437EB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5806F02C" w:rsidR="007D7ED9" w:rsidRPr="003B5F94" w:rsidRDefault="007D7ED9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r w:rsidRPr="00863FA6">
              <w:rPr>
                <w:rFonts w:ascii="Times New Roman" w:eastAsiaTheme="minorEastAsia" w:hAnsi="Times New Roman" w:hint="eastAsia"/>
                <w:strike/>
              </w:rPr>
              <w:t>Samsung</w:t>
            </w:r>
            <w:r w:rsidR="00536B9D" w:rsidRPr="00863FA6">
              <w:rPr>
                <w:rFonts w:ascii="Times New Roman" w:eastAsiaTheme="minorEastAsia" w:hAnsi="Times New Roman" w:hint="eastAsia"/>
                <w:strike/>
              </w:rPr>
              <w:t>[1]</w:t>
            </w:r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>RACH preamble split (among dedicated, group A,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6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6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r w:rsidRPr="006C4DFC">
        <w:rPr>
          <w:rFonts w:ascii="Arial" w:hAnsi="Arial" w:cs="Arial"/>
          <w:i/>
          <w:lang w:eastAsia="zh-CN"/>
        </w:rPr>
        <w:t>ra-MsgA-SizeGroupA</w:t>
      </w:r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pathloss.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r w:rsidR="00D709D8" w:rsidRPr="001B603B">
        <w:rPr>
          <w:rFonts w:ascii="Arial" w:hAnsi="Arial" w:cs="Arial"/>
          <w:i/>
          <w:lang w:eastAsia="zh-CN"/>
        </w:rPr>
        <w:t>rach-ConfigDedicated</w:t>
      </w:r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7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7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d"/>
              <w:ind w:left="0"/>
              <w:rPr>
                <w:rFonts w:ascii="Arial" w:eastAsia="맑은 고딕" w:hAnsi="Arial" w:cs="Arial" w:hint="eastAsia"/>
                <w:bCs/>
                <w:lang w:eastAsia="ko-KR"/>
              </w:rPr>
            </w:pPr>
            <w:r w:rsidRPr="00863FA6">
              <w:rPr>
                <w:rFonts w:ascii="Arial" w:eastAsia="맑은 고딕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77777777" w:rsidR="006A57D5" w:rsidRDefault="006A57D5" w:rsidP="00D6408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844EF8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7A59A7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57D5" w14:paraId="71359EE0" w14:textId="77777777" w:rsidTr="00D64087">
        <w:tc>
          <w:tcPr>
            <w:tcW w:w="1979" w:type="dxa"/>
          </w:tcPr>
          <w:p w14:paraId="54C62E4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E9B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4D800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C18A6EE" w14:textId="77777777" w:rsidTr="00D64087">
        <w:tc>
          <w:tcPr>
            <w:tcW w:w="1979" w:type="dxa"/>
          </w:tcPr>
          <w:p w14:paraId="311CEDC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DDA2B61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5BF0466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69FDFBD2" w14:textId="77777777" w:rsidTr="00D64087">
        <w:tc>
          <w:tcPr>
            <w:tcW w:w="1979" w:type="dxa"/>
          </w:tcPr>
          <w:p w14:paraId="18C8C54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5227A81A" w14:textId="77777777" w:rsidTr="00D64087">
        <w:tc>
          <w:tcPr>
            <w:tcW w:w="1979" w:type="dxa"/>
          </w:tcPr>
          <w:p w14:paraId="4FB2985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7E95A47" w14:textId="77777777" w:rsidTr="00D64087">
        <w:tc>
          <w:tcPr>
            <w:tcW w:w="1979" w:type="dxa"/>
          </w:tcPr>
          <w:p w14:paraId="5668CE0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F0AD878" w14:textId="77777777" w:rsidTr="00D64087">
        <w:tc>
          <w:tcPr>
            <w:tcW w:w="1979" w:type="dxa"/>
          </w:tcPr>
          <w:p w14:paraId="0E39178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1E2FC58" w14:textId="77777777" w:rsidTr="00D64087">
        <w:tc>
          <w:tcPr>
            <w:tcW w:w="1979" w:type="dxa"/>
          </w:tcPr>
          <w:p w14:paraId="5E1F7B23" w14:textId="77777777" w:rsidR="006A57D5" w:rsidRDefault="006A57D5" w:rsidP="00D64087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6A57D5" w:rsidRDefault="006A57D5" w:rsidP="00D6408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6A57D5" w:rsidRDefault="006A57D5" w:rsidP="00D6408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105593C3" w14:textId="77777777" w:rsidTr="00D64087">
        <w:tc>
          <w:tcPr>
            <w:tcW w:w="1979" w:type="dxa"/>
          </w:tcPr>
          <w:p w14:paraId="2BF7AE9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83EEDEE" w14:textId="77777777" w:rsidTr="00D64087">
        <w:tc>
          <w:tcPr>
            <w:tcW w:w="1979" w:type="dxa"/>
          </w:tcPr>
          <w:p w14:paraId="3E125CD5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76DCB48" w14:textId="77777777" w:rsidTr="00D64087">
        <w:tc>
          <w:tcPr>
            <w:tcW w:w="1979" w:type="dxa"/>
          </w:tcPr>
          <w:p w14:paraId="213AC2B1" w14:textId="77777777" w:rsidR="006A57D5" w:rsidRPr="00452898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557E859" w14:textId="77777777" w:rsidTr="00D64087">
        <w:tc>
          <w:tcPr>
            <w:tcW w:w="1979" w:type="dxa"/>
          </w:tcPr>
          <w:p w14:paraId="4A1C82B1" w14:textId="77777777" w:rsidR="006A57D5" w:rsidRPr="002437EB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8" w:name="OLE_LINK4"/>
      <w:bookmarkStart w:id="9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8"/>
    <w:bookmarkEnd w:id="9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>ndication of whether the payload size is above or below the ra-MsgA-SizeGroupA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ndication of pathloss above or below the pathloss threshold for groupA/B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d"/>
              <w:ind w:left="0"/>
              <w:rPr>
                <w:rFonts w:ascii="Arial" w:eastAsia="맑은 고딕" w:hAnsi="Arial" w:cs="Arial" w:hint="eastAsia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r w:rsidR="00C67524" w:rsidRPr="00C67524">
        <w:rPr>
          <w:rFonts w:ascii="Arial" w:hAnsi="Arial" w:cs="Arial"/>
          <w:i/>
          <w:lang w:eastAsia="zh-CN"/>
        </w:rPr>
        <w:t>MsgA-PUSCH-Resource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The number of msgA PUSCH occasions FDMed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10" w:name="OLE_LINK32"/>
      <w:bookmarkEnd w:id="10"/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fallback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fallback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9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0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1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lastRenderedPageBreak/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>Then, MSGA PUSCH cannot be transmitted. Hence</w:t>
      </w:r>
      <w:bookmarkStart w:id="11" w:name="_GoBack"/>
      <w:bookmarkEnd w:id="11"/>
      <w:r w:rsidR="00730371">
        <w:rPr>
          <w:rFonts w:ascii="Arial" w:hAnsi="Arial" w:cs="Arial"/>
          <w:color w:val="0000CC"/>
          <w:lang w:eastAsia="zh-CN"/>
        </w:rPr>
        <w:t xml:space="preserve">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맑은 고딕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>See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 xml:space="preserve"> above</w:t>
            </w:r>
          </w:p>
        </w:tc>
      </w:tr>
      <w:tr w:rsidR="00863FA6" w14:paraId="6C9E47FD" w14:textId="77777777" w:rsidTr="00D64087">
        <w:tc>
          <w:tcPr>
            <w:tcW w:w="1979" w:type="dxa"/>
          </w:tcPr>
          <w:p w14:paraId="704A17D9" w14:textId="77777777" w:rsidR="00863FA6" w:rsidRDefault="00863FA6" w:rsidP="00863FA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581D026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401B266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3FA6" w14:paraId="75B3C52C" w14:textId="77777777" w:rsidTr="00D64087">
        <w:tc>
          <w:tcPr>
            <w:tcW w:w="1979" w:type="dxa"/>
          </w:tcPr>
          <w:p w14:paraId="0F3CA2A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635390DB" w14:textId="77777777" w:rsidTr="00D64087">
        <w:tc>
          <w:tcPr>
            <w:tcW w:w="1979" w:type="dxa"/>
          </w:tcPr>
          <w:p w14:paraId="0CA031C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4FD40C80" w14:textId="77777777" w:rsidTr="00D64087">
        <w:tc>
          <w:tcPr>
            <w:tcW w:w="1979" w:type="dxa"/>
          </w:tcPr>
          <w:p w14:paraId="17E8FE53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3150EEFA" w14:textId="77777777" w:rsidTr="00D64087">
        <w:tc>
          <w:tcPr>
            <w:tcW w:w="1979" w:type="dxa"/>
          </w:tcPr>
          <w:p w14:paraId="14F0667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0D62B78" w14:textId="77777777" w:rsidTr="00D64087">
        <w:tc>
          <w:tcPr>
            <w:tcW w:w="1979" w:type="dxa"/>
          </w:tcPr>
          <w:p w14:paraId="08ECC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80D7C61" w14:textId="77777777" w:rsidTr="00D64087">
        <w:tc>
          <w:tcPr>
            <w:tcW w:w="1979" w:type="dxa"/>
          </w:tcPr>
          <w:p w14:paraId="034E496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98A87EE" w14:textId="77777777" w:rsidTr="00D64087">
        <w:tc>
          <w:tcPr>
            <w:tcW w:w="1979" w:type="dxa"/>
          </w:tcPr>
          <w:p w14:paraId="386998D0" w14:textId="77777777" w:rsidR="00863FA6" w:rsidRDefault="00863FA6" w:rsidP="00863FA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863FA6" w:rsidRDefault="00863FA6" w:rsidP="00863FA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863FA6" w:rsidRDefault="00863FA6" w:rsidP="00863FA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2F8B438" w14:textId="77777777" w:rsidTr="00D64087">
        <w:tc>
          <w:tcPr>
            <w:tcW w:w="1979" w:type="dxa"/>
          </w:tcPr>
          <w:p w14:paraId="528DA28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25024AF6" w14:textId="77777777" w:rsidTr="00D64087">
        <w:tc>
          <w:tcPr>
            <w:tcW w:w="1979" w:type="dxa"/>
          </w:tcPr>
          <w:p w14:paraId="6A267D6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2975305" w14:textId="77777777" w:rsidTr="00D64087">
        <w:tc>
          <w:tcPr>
            <w:tcW w:w="1979" w:type="dxa"/>
          </w:tcPr>
          <w:p w14:paraId="64028DE4" w14:textId="77777777" w:rsidR="00863FA6" w:rsidRPr="00452898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CAF1A5E" w14:textId="77777777" w:rsidTr="00D64087">
        <w:tc>
          <w:tcPr>
            <w:tcW w:w="1979" w:type="dxa"/>
          </w:tcPr>
          <w:p w14:paraId="2258AD40" w14:textId="77777777" w:rsidR="00863FA6" w:rsidRPr="002437EB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>he number of msgA PUSCH occasions FDMed in one time instance</w:t>
      </w:r>
    </w:p>
    <w:p w14:paraId="064773C8" w14:textId="7C7D2F41" w:rsidR="00863FA6" w:rsidRPr="00863FA6" w:rsidRDefault="00863FA6" w:rsidP="00863FA6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d"/>
              <w:ind w:left="0"/>
              <w:rPr>
                <w:rFonts w:ascii="Arial" w:eastAsia="맑은 고딕" w:hAnsi="Arial" w:cs="Arial" w:hint="eastAsia"/>
                <w:bCs/>
                <w:lang w:eastAsia="ko-KR"/>
              </w:rPr>
            </w:pPr>
            <w:r w:rsidRPr="00863FA6">
              <w:rPr>
                <w:rFonts w:ascii="Arial" w:eastAsia="맑은 고딕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맑은 고딕" w:hAnsi="Arial" w:cs="Arial" w:hint="eastAsia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맑은 고딕" w:hAnsi="Arial" w:cs="Arial" w:hint="eastAsia"/>
                <w:lang w:val="en-US" w:eastAsia="ko-KR"/>
              </w:rPr>
            </w:pP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>See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lastRenderedPageBreak/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r w:rsidRPr="00696FFD">
        <w:rPr>
          <w:rFonts w:hint="eastAsia"/>
          <w:lang w:eastAsia="zh-CN"/>
        </w:rPr>
        <w:t>FFS.</w:t>
      </w:r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35922C" w16cid:durableId="24061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65ADD" w14:textId="77777777" w:rsidR="00E328A8" w:rsidRDefault="00E328A8" w:rsidP="005F05F0">
      <w:pPr>
        <w:spacing w:after="0" w:line="240" w:lineRule="auto"/>
      </w:pPr>
      <w:r>
        <w:separator/>
      </w:r>
    </w:p>
  </w:endnote>
  <w:endnote w:type="continuationSeparator" w:id="0">
    <w:p w14:paraId="7D1D9967" w14:textId="77777777" w:rsidR="00E328A8" w:rsidRDefault="00E328A8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9D4F8" w14:textId="77777777" w:rsidR="00E328A8" w:rsidRDefault="00E328A8" w:rsidP="005F05F0">
      <w:pPr>
        <w:spacing w:after="0" w:line="240" w:lineRule="auto"/>
      </w:pPr>
      <w:r>
        <w:separator/>
      </w:r>
    </w:p>
  </w:footnote>
  <w:footnote w:type="continuationSeparator" w:id="0">
    <w:p w14:paraId="6829277E" w14:textId="77777777" w:rsidR="00E328A8" w:rsidRDefault="00E328A8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 w15:restartNumberingAfterBreak="0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 w15:restartNumberingAfterBreak="0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 w15:restartNumberingAfterBreak="0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굴림" w:eastAsia="굴림" w:hAnsi="굴림" w:cs="굴림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 w15:restartNumberingAfterBreak="0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 w15:restartNumberingAfterBreak="0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 w15:restartNumberingAfterBreak="0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 w15:restartNumberingAfterBreak="0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removeDateAndTime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BA5"/>
    <w:rsid w:val="006A051B"/>
    <w:rsid w:val="006A0F59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  <w15:docId w15:val="{7DCCF40E-09BE-41CF-BA3E-1D984251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본문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풍선 도움말 텍스트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메모 주제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문서 구조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머리글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바닥글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각주 텍스트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rPr>
      <w:rFonts w:ascii="Arial" w:hAnsi="Arial"/>
      <w:lang w:eastAsia="ja-JP"/>
    </w:rPr>
  </w:style>
  <w:style w:type="character" w:customStyle="1" w:styleId="7Char">
    <w:name w:val="제목 7 Char"/>
    <w:link w:val="7"/>
    <w:rPr>
      <w:rFonts w:ascii="Arial" w:hAnsi="Arial"/>
      <w:lang w:eastAsia="ja-JP"/>
    </w:rPr>
  </w:style>
  <w:style w:type="character" w:customStyle="1" w:styleId="8Char">
    <w:name w:val="제목 8 Char"/>
    <w:link w:val="8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목록 단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날짜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nyi.baidu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anyi.baidu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fanyi.baid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6154E-20BF-478C-A88B-DC1AFA8E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Sangbum Kim</cp:lastModifiedBy>
  <cp:revision>6</cp:revision>
  <dcterms:created xsi:type="dcterms:W3CDTF">2021-09-17T01:27:00Z</dcterms:created>
  <dcterms:modified xsi:type="dcterms:W3CDTF">2021-09-17T06:37:00Z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