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B54669">
            <w:pPr>
              <w:pStyle w:val="TAL"/>
              <w:rPr>
                <w:lang w:eastAsia="zh-CN"/>
              </w:rPr>
            </w:pPr>
            <w:hyperlink r:id="rId10" w:history="1">
              <w:r w:rsidR="0074298F" w:rsidRPr="00687A80">
                <w:rPr>
                  <w:rStyle w:val="Hyperlink"/>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B54669">
            <w:pPr>
              <w:pStyle w:val="TAL"/>
              <w:rPr>
                <w:lang w:eastAsia="zh-CN"/>
              </w:rPr>
            </w:pPr>
            <w:hyperlink r:id="rId11" w:history="1">
              <w:r w:rsidR="0074298F" w:rsidRPr="00687A80">
                <w:rPr>
                  <w:rStyle w:val="Hyperlink"/>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bl>
    <w:p w14:paraId="60911F23" w14:textId="77777777" w:rsidR="00D76C9A" w:rsidRDefault="00D76C9A">
      <w:pPr>
        <w:rPr>
          <w:lang w:val="en-GB" w:eastAsia="zh-CN"/>
        </w:rPr>
      </w:pPr>
    </w:p>
    <w:p w14:paraId="3A646958" w14:textId="77777777" w:rsidR="00D76C9A" w:rsidRDefault="0042200A">
      <w:pPr>
        <w:pStyle w:val="Heading1"/>
      </w:pPr>
      <w:r>
        <w:lastRenderedPageBreak/>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w:t>
            </w:r>
            <w:r>
              <w:rPr>
                <w:lang w:eastAsia="zh-CN"/>
              </w:rPr>
              <w:lastRenderedPageBreak/>
              <w:t>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lastRenderedPageBreak/>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77777777" w:rsidR="0074298F" w:rsidRDefault="0074298F" w:rsidP="0074298F"/>
        </w:tc>
        <w:tc>
          <w:tcPr>
            <w:tcW w:w="7826" w:type="dxa"/>
          </w:tcPr>
          <w:p w14:paraId="7A45333E" w14:textId="77777777" w:rsidR="0074298F" w:rsidRDefault="0074298F" w:rsidP="0074298F">
            <w:pPr>
              <w:rPr>
                <w:sz w:val="22"/>
                <w:szCs w:val="22"/>
                <w:lang w:eastAsia="zh-CN"/>
              </w:rPr>
            </w:pP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w:t>
            </w:r>
            <w:r w:rsidRPr="00607FAC">
              <w:rPr>
                <w:szCs w:val="22"/>
                <w:lang w:eastAsia="zh-CN"/>
              </w:rPr>
              <w:lastRenderedPageBreak/>
              <w:t xml:space="preserve">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lastRenderedPageBreak/>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lastRenderedPageBreak/>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 xml:space="preserve">As QC mentioned, some validity conditions are supported already. If the question is about new validity conditions to be introduced, then we should discuss them on a </w:t>
            </w:r>
            <w:proofErr w:type="gramStart"/>
            <w:r>
              <w:rPr>
                <w:sz w:val="22"/>
                <w:szCs w:val="22"/>
                <w:lang w:eastAsia="zh-CN"/>
              </w:rPr>
              <w:t>case by case</w:t>
            </w:r>
            <w:proofErr w:type="gramEnd"/>
            <w:r>
              <w:rPr>
                <w:sz w:val="22"/>
                <w:szCs w:val="22"/>
                <w:lang w:eastAsia="zh-CN"/>
              </w:rPr>
              <w:t xml:space="preserve"> basis (as indeed we do below).</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lastRenderedPageBreak/>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lastRenderedPageBreak/>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w:t>
            </w:r>
            <w:proofErr w:type="gramStart"/>
            <w:r>
              <w:rPr>
                <w:lang w:eastAsia="zh-CN"/>
              </w:rPr>
              <w:t>case by case</w:t>
            </w:r>
            <w:proofErr w:type="gramEnd"/>
            <w:r>
              <w:rPr>
                <w:lang w:eastAsia="zh-CN"/>
              </w:rPr>
              <w:t xml:space="preserve"> basis for a specific assistance data information. </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lastRenderedPageBreak/>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lastRenderedPageBreak/>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 xml:space="preserve">This supports the UE mobility better, if the A/D could be tied to a location in the network. For example, the A/D received in cell x could be used with a </w:t>
            </w:r>
            <w:r>
              <w:rPr>
                <w:lang w:eastAsia="zh-CN"/>
              </w:rPr>
              <w:lastRenderedPageBreak/>
              <w:t>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lastRenderedPageBreak/>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Heading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 xml:space="preserve">Given the fact that the above options are based on individual company proposals and there has not been an opportunity to collect views form other companies on the need and feasibility of supporting these </w:t>
      </w:r>
      <w:proofErr w:type="gramStart"/>
      <w:r>
        <w:rPr>
          <w:lang w:val="en-GB" w:eastAsia="zh-CN"/>
        </w:rPr>
        <w:t>enhancements,  rapporteur</w:t>
      </w:r>
      <w:proofErr w:type="gramEnd"/>
      <w:r>
        <w:rPr>
          <w:lang w:val="en-GB" w:eastAsia="zh-CN"/>
        </w:rPr>
        <w:t xml:space="preserve">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lastRenderedPageBreak/>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lastRenderedPageBreak/>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Default="00F32E47" w:rsidP="00F32E47">
            <w:pPr>
              <w:rPr>
                <w:lang w:eastAsia="zh-CN"/>
              </w:rPr>
            </w:pPr>
            <w:r>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Default="00EB11B0" w:rsidP="00EB11B0">
            <w:pPr>
              <w:rPr>
                <w:sz w:val="22"/>
                <w:szCs w:val="22"/>
                <w:lang w:eastAsia="zh-CN"/>
              </w:rPr>
            </w:pPr>
            <w:r w:rsidRPr="00973C4F">
              <w:rPr>
                <w:lang w:eastAsia="zh-CN"/>
              </w:rPr>
              <w:t>A precise definition of</w:t>
            </w:r>
            <w:r>
              <w:rPr>
                <w:lang w:eastAsia="zh-CN"/>
              </w:rPr>
              <w:t xml:space="preserve"> what</w:t>
            </w:r>
            <w:r w:rsidRPr="00973C4F">
              <w:rPr>
                <w:lang w:eastAsia="zh-CN"/>
              </w:rPr>
              <w:t xml:space="preserve"> "pre-configured assistance data" </w:t>
            </w:r>
            <w:r>
              <w:rPr>
                <w:lang w:eastAsia="zh-CN"/>
              </w:rPr>
              <w:t xml:space="preserve">means </w:t>
            </w:r>
            <w:r w:rsidRPr="00973C4F">
              <w:rPr>
                <w:lang w:eastAsia="zh-CN"/>
              </w:rPr>
              <w:t xml:space="preserve">and how it is different compared to </w:t>
            </w:r>
            <w:r>
              <w:rPr>
                <w:lang w:eastAsia="zh-CN"/>
              </w:rPr>
              <w:t>today</w:t>
            </w:r>
            <w:r w:rsidRPr="00973C4F">
              <w:rPr>
                <w:lang w:eastAsia="zh-CN"/>
              </w:rPr>
              <w:t xml:space="preserve"> </w:t>
            </w:r>
            <w:r>
              <w:rPr>
                <w:lang w:eastAsia="zh-CN"/>
              </w:rPr>
              <w:t>w</w:t>
            </w:r>
            <w:r w:rsidRPr="00973C4F">
              <w:rPr>
                <w:lang w:eastAsia="zh-CN"/>
              </w:rPr>
              <w:t xml:space="preserve">ould be </w:t>
            </w:r>
            <w:r>
              <w:rPr>
                <w:lang w:eastAsia="zh-CN"/>
              </w:rPr>
              <w:t>helpful</w:t>
            </w:r>
            <w:r w:rsidRPr="00973C4F">
              <w:rPr>
                <w:lang w:eastAsia="zh-CN"/>
              </w:rPr>
              <w:t>.</w:t>
            </w:r>
            <w:r>
              <w:rPr>
                <w:lang w:eastAsia="zh-CN"/>
              </w:rPr>
              <w:t xml:space="preserve"> For example, are </w:t>
            </w:r>
            <w:proofErr w:type="spellStart"/>
            <w:r>
              <w:rPr>
                <w:lang w:eastAsia="zh-CN"/>
              </w:rPr>
              <w:t>posSIBs</w:t>
            </w:r>
            <w:proofErr w:type="spellEnd"/>
            <w:r>
              <w:rPr>
                <w:lang w:eastAsia="zh-CN"/>
              </w:rPr>
              <w:t xml:space="preserve"> or MO-LR considered as </w:t>
            </w:r>
            <w:r w:rsidRPr="00220BD4">
              <w:rPr>
                <w:lang w:eastAsia="zh-CN"/>
              </w:rPr>
              <w:t>"pre-configured assistance data"</w:t>
            </w:r>
            <w:r w:rsidR="00360D98">
              <w:rPr>
                <w:lang w:eastAsia="zh-CN"/>
              </w:rPr>
              <w:t>, etc.</w:t>
            </w:r>
            <w:r>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Default="0074298F" w:rsidP="0074298F">
            <w:pPr>
              <w:rPr>
                <w:sz w:val="22"/>
                <w:szCs w:val="22"/>
                <w:lang w:eastAsia="zh-CN"/>
              </w:rPr>
            </w:pPr>
            <w:r>
              <w:rPr>
                <w:sz w:val="22"/>
                <w:szCs w:val="22"/>
                <w:lang w:eastAsia="zh-CN"/>
              </w:rPr>
              <w:t>We see benefits of having preconfigured A/D especially in RRC_INACTIVE positioning.</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Heading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5D85"/>
    <w:rsid w:val="00585E31"/>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4934"/>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669"/>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2FD6"/>
    <w:rsid w:val="00EB34FD"/>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character" w:styleId="Hyperlink">
    <w:name w:val="Hyperlink"/>
    <w:basedOn w:val="DefaultParagraphFont"/>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birendra.ghimire@iis.fraunhofer.de" TargetMode="External"/><Relationship Id="rId5" Type="http://schemas.openxmlformats.org/officeDocument/2006/relationships/customXml" Target="../customXml/item5.xml"/><Relationship Id="rId10" Type="http://schemas.openxmlformats.org/officeDocument/2006/relationships/hyperlink" Target="mailto:rthomas7@lenovo.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DF826-BEE1-449B-9032-3030B73BD75C}">
  <ds:schemaRefs>
    <ds:schemaRef ds:uri="http://schemas.openxmlformats.org/officeDocument/2006/bibliography"/>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Sasha Sirotkin</cp:lastModifiedBy>
  <cp:revision>6</cp:revision>
  <dcterms:created xsi:type="dcterms:W3CDTF">2021-10-04T12:25:00Z</dcterms:created>
  <dcterms:modified xsi:type="dcterms:W3CDTF">2021-10-04T12:45:00Z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ies>
</file>