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Header"/>
        <w:rPr>
          <w:bCs/>
          <w:sz w:val="22"/>
          <w:szCs w:val="22"/>
          <w:lang w:val="en-US"/>
        </w:rPr>
      </w:pPr>
    </w:p>
    <w:p w14:paraId="5B4FFB2E" w14:textId="77777777" w:rsidR="00DC2CC0" w:rsidRDefault="00DC2CC0">
      <w:pPr>
        <w:pStyle w:val="Header"/>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BC3904">
            <w:pPr>
              <w:pStyle w:val="TAC"/>
              <w:spacing w:before="20" w:after="20"/>
              <w:ind w:left="57" w:right="57"/>
              <w:jc w:val="left"/>
              <w:rPr>
                <w:rFonts w:cs="Arial"/>
                <w:lang w:val="en-US" w:eastAsia="zh-CN"/>
              </w:rPr>
            </w:pPr>
            <w:hyperlink r:id="rId14" w:history="1">
              <w:r w:rsidR="00F34C22"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BC3904" w:rsidP="00F34C22">
            <w:pPr>
              <w:pStyle w:val="TAC"/>
              <w:spacing w:before="20" w:after="20"/>
              <w:ind w:left="57" w:right="57"/>
              <w:jc w:val="left"/>
              <w:rPr>
                <w:rFonts w:cs="Arial"/>
                <w:lang w:val="en-US" w:eastAsia="zh-CN"/>
              </w:rPr>
            </w:pPr>
            <w:hyperlink r:id="rId15" w:history="1">
              <w:r w:rsidR="00F34C22" w:rsidRPr="00F61679">
                <w:rPr>
                  <w:rStyle w:val="Hyperlink"/>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r>
              <w:rPr>
                <w:rFonts w:eastAsia="Malgun Gothic"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r w:rsidR="00BC3904" w14:paraId="289655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9BA87" w14:textId="4447D24A" w:rsidR="00BC3904" w:rsidRDefault="00BC3904" w:rsidP="00BC3904">
            <w:pPr>
              <w:pStyle w:val="TAC"/>
              <w:spacing w:before="20" w:after="20"/>
              <w:ind w:left="57" w:right="57"/>
              <w:jc w:val="left"/>
              <w:rPr>
                <w:rFonts w:cs="Arial"/>
                <w:lang w:eastAsia="zh-CN"/>
              </w:rPr>
            </w:pPr>
            <w:r>
              <w:rPr>
                <w:rFonts w:eastAsiaTheme="minorEastAsia" w:cs="Arial"/>
                <w:lang w:eastAsia="ja-JP"/>
              </w:rPr>
              <w:t>Philips</w:t>
            </w:r>
          </w:p>
        </w:tc>
        <w:tc>
          <w:tcPr>
            <w:tcW w:w="3118" w:type="dxa"/>
            <w:tcBorders>
              <w:top w:val="single" w:sz="4" w:space="0" w:color="auto"/>
              <w:left w:val="single" w:sz="4" w:space="0" w:color="auto"/>
              <w:bottom w:val="single" w:sz="4" w:space="0" w:color="auto"/>
              <w:right w:val="single" w:sz="4" w:space="0" w:color="auto"/>
            </w:tcBorders>
          </w:tcPr>
          <w:p w14:paraId="4085C408" w14:textId="1D6FD08B"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Jesus Gonzalez Tejeria</w:t>
            </w:r>
          </w:p>
        </w:tc>
        <w:tc>
          <w:tcPr>
            <w:tcW w:w="4391" w:type="dxa"/>
            <w:tcBorders>
              <w:top w:val="single" w:sz="4" w:space="0" w:color="auto"/>
              <w:left w:val="single" w:sz="4" w:space="0" w:color="auto"/>
              <w:bottom w:val="single" w:sz="4" w:space="0" w:color="auto"/>
              <w:right w:val="single" w:sz="4" w:space="0" w:color="auto"/>
            </w:tcBorders>
          </w:tcPr>
          <w:p w14:paraId="66BE2B77" w14:textId="70493A20" w:rsidR="00BC3904" w:rsidRDefault="00BC3904" w:rsidP="00BC3904">
            <w:pPr>
              <w:pStyle w:val="TAC"/>
              <w:spacing w:before="20" w:after="20"/>
              <w:ind w:left="57" w:right="57"/>
              <w:jc w:val="left"/>
              <w:rPr>
                <w:rFonts w:eastAsia="Malgun Gothic"/>
                <w:lang w:val="en-US" w:eastAsia="ko-KR"/>
              </w:rPr>
            </w:pPr>
            <w:r>
              <w:rPr>
                <w:rFonts w:cs="Arial"/>
                <w:lang w:val="en-US" w:eastAsia="zh-CN"/>
              </w:rPr>
              <w:t>jesus.gonzalez.tejeria@philips.com</w:t>
            </w:r>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lang w:val="en-US" w:eastAsia="ko-KR"/>
              </w:rPr>
            </w:pPr>
            <w:r>
              <w:rPr>
                <w:rFonts w:eastAsia="Malgun Gothic" w:cs="Arial"/>
                <w:lang w:val="en-US" w:eastAsia="ko-KR"/>
              </w:rPr>
              <w:t>up to gNB</w:t>
            </w:r>
          </w:p>
        </w:tc>
      </w:tr>
      <w:tr w:rsidR="00BC3904" w14:paraId="2929B4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CC2D03" w14:textId="4EA6F69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7E78929" w14:textId="296EC5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8859ECC" w14:textId="2099FDB6" w:rsidR="00BC3904" w:rsidRDefault="00BC3904" w:rsidP="00BC3904">
            <w:pPr>
              <w:pStyle w:val="TAC"/>
              <w:spacing w:before="20" w:after="20"/>
              <w:ind w:left="57" w:right="57"/>
              <w:jc w:val="left"/>
              <w:rPr>
                <w:rFonts w:eastAsia="Malgun Gothic" w:cs="Arial"/>
                <w:lang w:val="en-US" w:eastAsia="ko-KR"/>
              </w:rPr>
            </w:pPr>
            <w:r>
              <w:rPr>
                <w:rFonts w:eastAsiaTheme="minorEastAsia" w:cs="Arial"/>
                <w:lang w:eastAsia="ja-JP"/>
              </w:rPr>
              <w:t>We agree with Apple</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lang w:eastAsia="ko-KR"/>
              </w:rPr>
            </w:pPr>
          </w:p>
        </w:tc>
      </w:tr>
      <w:tr w:rsidR="00BC3904" w14:paraId="2070DF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7EB08" w14:textId="2F77D9C4"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9D06049" w14:textId="6042A94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A0A83D9" w14:textId="1C060EF0" w:rsidR="00BC3904" w:rsidRDefault="00BC3904" w:rsidP="00BC3904">
            <w:pPr>
              <w:pStyle w:val="TAC"/>
              <w:spacing w:before="20" w:after="20"/>
              <w:ind w:right="57"/>
              <w:jc w:val="left"/>
              <w:rPr>
                <w:rFonts w:eastAsia="Malgun Gothic" w:cs="Arial"/>
                <w:lang w:eastAsia="ko-KR"/>
              </w:rPr>
            </w:pPr>
            <w:r>
              <w:rPr>
                <w:rFonts w:cs="Arial"/>
                <w:lang w:val="en-US" w:eastAsia="zh-CN"/>
              </w:rPr>
              <w:t>Agree with Apple</w:t>
            </w:r>
          </w:p>
        </w:tc>
      </w:tr>
    </w:tbl>
    <w:p w14:paraId="3A1562AF" w14:textId="77777777" w:rsidR="00DC2CC0" w:rsidRDefault="00DC2CC0">
      <w:pPr>
        <w:outlineLvl w:val="2"/>
        <w:rPr>
          <w:rFonts w:ascii="Arial" w:hAnsi="Arial" w:cs="Arial"/>
          <w:b/>
          <w:bCs/>
        </w:rPr>
      </w:pPr>
    </w:p>
    <w:p w14:paraId="61779F66" w14:textId="77777777" w:rsidR="00DC2CC0" w:rsidRDefault="00136560">
      <w:pPr>
        <w:pStyle w:val="Heading2"/>
        <w:rPr>
          <w:rFonts w:cs="Arial"/>
        </w:rPr>
      </w:pPr>
      <w:r>
        <w:rPr>
          <w:rFonts w:cs="Arial"/>
        </w:rPr>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r w:rsidR="00BC3904" w14:paraId="5383B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063D8" w14:textId="3598F7C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413330E" w14:textId="1064091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5C36F1D" w14:textId="77777777"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We agree that the gNB directly configures the relay UE for PC5 QoS configuration via Uu RRC signalling. </w:t>
            </w:r>
          </w:p>
          <w:p w14:paraId="2F9A74E8" w14:textId="74AD40B9"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However, the Relay UE could also configure the PC5 QoS of the Remote UE via PC5 RRC since it may have more information on the PC5 link than the actual gNB</w:t>
            </w: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bCs/>
                <w:lang w:val="en-US" w:eastAsia="ko-KR"/>
              </w:rPr>
            </w:pPr>
          </w:p>
        </w:tc>
      </w:tr>
      <w:tr w:rsidR="00BC3904" w14:paraId="44DF16E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06ED9" w14:textId="348D805C"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496874" w14:textId="539CF7B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038FA17" w14:textId="4661E4A6" w:rsidR="00BC3904" w:rsidRDefault="00BC3904" w:rsidP="00BC3904">
            <w:pPr>
              <w:pStyle w:val="TAC"/>
              <w:spacing w:before="20" w:after="20"/>
              <w:ind w:left="57" w:right="57"/>
              <w:jc w:val="left"/>
              <w:rPr>
                <w:rFonts w:eastAsia="Malgun Gothic" w:cs="Arial"/>
                <w:bCs/>
                <w:lang w:val="en-US" w:eastAsia="ko-KR"/>
              </w:rPr>
            </w:pPr>
            <w:r>
              <w:rPr>
                <w:rFonts w:cs="Arial"/>
                <w:lang w:val="en-US" w:eastAsia="zh-CN"/>
              </w:rPr>
              <w:t>We agree with the proposal as for how it is conveyed it can be part of stage-3</w:t>
            </w:r>
          </w:p>
        </w:tc>
      </w:tr>
    </w:tbl>
    <w:p w14:paraId="0DCC86D8" w14:textId="77777777" w:rsidR="00DC2CC0" w:rsidRDefault="00DC2CC0">
      <w:pPr>
        <w:jc w:val="both"/>
        <w:rPr>
          <w:rFonts w:ascii="Arial" w:eastAsia="Malgun Gothic"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lastRenderedPageBreak/>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lang w:eastAsia="ko-KR"/>
              </w:rPr>
            </w:pPr>
          </w:p>
        </w:tc>
      </w:tr>
      <w:tr w:rsidR="00BC3904" w14:paraId="20920F6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6ACA37" w14:textId="74AC51A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4DC6BA9" w14:textId="39387BAF"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71AF768" w14:textId="6CAAEF54" w:rsidR="00BC3904" w:rsidRDefault="00BC3904" w:rsidP="00BC3904">
            <w:pPr>
              <w:pStyle w:val="TAC"/>
              <w:spacing w:before="20" w:after="20"/>
              <w:ind w:left="57" w:right="57"/>
              <w:jc w:val="left"/>
              <w:rPr>
                <w:rFonts w:eastAsia="Malgun Gothic" w:cs="Arial"/>
                <w:lang w:eastAsia="ko-KR"/>
              </w:rPr>
            </w:pPr>
            <w:r>
              <w:rPr>
                <w:rFonts w:cs="Arial"/>
                <w:lang w:eastAsia="zh-CN"/>
              </w:rPr>
              <w:t>Agree with Oppo</w:t>
            </w:r>
          </w:p>
        </w:tc>
      </w:tr>
    </w:tbl>
    <w:p w14:paraId="5DCD0717" w14:textId="77777777" w:rsidR="00DC2CC0" w:rsidRDefault="00DC2CC0">
      <w:pPr>
        <w:jc w:val="both"/>
        <w:rPr>
          <w:rFonts w:ascii="Arial" w:eastAsia="Malgun Gothic"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r w:rsidR="00BC3904" w14:paraId="4BFB8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21E46F" w14:textId="745D928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1455FC0" w14:textId="29F0634E"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D771208" w14:textId="028646FA" w:rsidR="00BC3904" w:rsidRPr="00EE1881" w:rsidRDefault="00BC3904" w:rsidP="00BC3904">
            <w:pPr>
              <w:pStyle w:val="TAC"/>
              <w:spacing w:before="20" w:after="20"/>
              <w:ind w:right="57" w:firstLineChars="50" w:firstLine="90"/>
              <w:jc w:val="left"/>
              <w:rPr>
                <w:rFonts w:eastAsiaTheme="minorEastAsia" w:cs="Arial"/>
                <w:lang w:eastAsia="ja-JP"/>
              </w:rPr>
            </w:pPr>
            <w:r>
              <w:rPr>
                <w:rFonts w:eastAsiaTheme="minorEastAsia" w:cs="Arial"/>
                <w:lang w:eastAsia="ja-JP"/>
              </w:rPr>
              <w:t>Same as Q5</w:t>
            </w:r>
          </w:p>
        </w:tc>
      </w:tr>
    </w:tbl>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lang w:val="en-US" w:eastAsia="ko-KR"/>
              </w:rPr>
            </w:pPr>
          </w:p>
        </w:tc>
      </w:tr>
      <w:tr w:rsidR="00BC3904" w14:paraId="2B9C34D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9451DC" w14:textId="46760F0D"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D153ED6" w14:textId="1A8F0AB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187063" w14:textId="3FC011C2"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We agree with Ericsson</w:t>
            </w:r>
          </w:p>
        </w:tc>
      </w:tr>
    </w:tbl>
    <w:p w14:paraId="5F4596CB" w14:textId="77777777" w:rsidR="00DC2CC0" w:rsidRDefault="00DC2CC0">
      <w:pPr>
        <w:ind w:left="1440" w:hanging="1440"/>
        <w:jc w:val="both"/>
        <w:rPr>
          <w:rFonts w:ascii="Arial" w:eastAsia="Malgun Gothic" w:hAnsi="Arial" w:cs="Arial"/>
          <w:bCs/>
          <w:lang w:eastAsia="ko-KR"/>
        </w:rPr>
      </w:pPr>
    </w:p>
    <w:p w14:paraId="0BB6DA4B" w14:textId="77777777" w:rsidR="00DC2CC0" w:rsidRDefault="00DC2CC0">
      <w:pPr>
        <w:jc w:val="both"/>
        <w:rPr>
          <w:rFonts w:ascii="Arial" w:eastAsia="Malgun Gothic" w:hAnsi="Arial" w:cs="Arial"/>
          <w:b/>
          <w:lang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lastRenderedPageBreak/>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r w:rsidR="00BC3904" w14:paraId="2B1E35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A8A77" w14:textId="02EE8FB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BEBB31" w14:textId="024C8050"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52016FA" w14:textId="75C4333D" w:rsidR="00BC3904" w:rsidRPr="00B90FB3" w:rsidRDefault="00BC3904" w:rsidP="00BC3904">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r w:rsidR="00BC3904" w14:paraId="2B299A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57EAB" w14:textId="7985511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EA92A15" w14:textId="4517F36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AC037CE" w14:textId="58DB8B8C" w:rsidR="00BC3904" w:rsidRDefault="00BC3904" w:rsidP="00BC3904">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77777777"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77777777"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77777777"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Adaptation layer headers to differentiate </w:t>
            </w:r>
            <w:r w:rsidR="006231B2">
              <w:rPr>
                <w:rFonts w:cs="Arial"/>
                <w:lang w:val="en-US" w:eastAsia="zh-CN"/>
              </w:rPr>
              <w:t>between Remote UEs and the Relay UE all mapped to the same Uu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 xml:space="preserve">Should be discussed in adaptation layer topic. According to our view </w:t>
            </w:r>
            <w:r>
              <w:rPr>
                <w:rFonts w:cs="Arial"/>
                <w:lang w:eastAsia="zh-CN"/>
              </w:rPr>
              <w:t>multiplexing of SDUs with the adaptation layer and SDUs without adaptation layer in the same Uu RLC channel is not possible.</w:t>
            </w:r>
          </w:p>
        </w:tc>
      </w:tr>
      <w:tr w:rsidR="00BC3904" w14:paraId="53016CE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9BFCF" w14:textId="56FBE3A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34C027E4" w14:textId="2318E16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4AC71870" w14:textId="30E4DCEB" w:rsidR="00BC3904" w:rsidRDefault="00BC3904" w:rsidP="00BC3904">
            <w:pPr>
              <w:pStyle w:val="TAC"/>
              <w:spacing w:before="20" w:after="20"/>
              <w:ind w:left="57" w:right="57"/>
              <w:jc w:val="left"/>
              <w:rPr>
                <w:rFonts w:eastAsia="Malgun Gothic" w:cs="Arial"/>
                <w:lang w:eastAsia="ko-KR"/>
              </w:rPr>
            </w:pPr>
            <w:r>
              <w:rPr>
                <w:rFonts w:cs="Arial"/>
                <w:lang w:val="en-US" w:eastAsia="zh-CN"/>
              </w:rPr>
              <w:t>We agree with Apple</w:t>
            </w: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This is up to gNB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lang w:eastAsia="ko-KR"/>
              </w:rPr>
            </w:pPr>
          </w:p>
        </w:tc>
      </w:tr>
      <w:tr w:rsidR="00BC3904" w14:paraId="6F60EDA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477CF7" w14:textId="6C684A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F91FD59" w14:textId="3BD45A0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EB13591" w14:textId="3680206A" w:rsidR="00BC3904" w:rsidRDefault="00BC3904" w:rsidP="00BC3904">
            <w:pPr>
              <w:pStyle w:val="TAC"/>
              <w:spacing w:before="20" w:after="20"/>
              <w:ind w:left="57" w:right="57" w:firstLine="82"/>
              <w:jc w:val="left"/>
              <w:rPr>
                <w:rFonts w:eastAsia="Malgun Gothic" w:cs="Arial"/>
                <w:lang w:eastAsia="ko-KR"/>
              </w:rPr>
            </w:pP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w:t>
      </w:r>
      <w:r>
        <w:rPr>
          <w:rFonts w:ascii="Arial" w:eastAsia="Malgun Gothic" w:hAnsi="Arial" w:cs="Arial"/>
          <w:b/>
          <w:bCs/>
          <w:lang w:eastAsia="ko-KR"/>
        </w:rPr>
        <w:lastRenderedPageBreak/>
        <w:t>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r w:rsidR="00BC3904" w14:paraId="2A3B1F9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F7DAE" w14:textId="2EEB9E2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E257766" w14:textId="608BC57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E623FEC" w14:textId="6F266488" w:rsidR="00BC3904" w:rsidRDefault="00BC3904" w:rsidP="00BC3904">
            <w:pPr>
              <w:pStyle w:val="TAC"/>
              <w:spacing w:before="20" w:after="20"/>
              <w:ind w:left="57" w:right="57"/>
              <w:jc w:val="left"/>
              <w:rPr>
                <w:rFonts w:eastAsia="Malgun Gothic" w:cs="Arial"/>
                <w:lang w:eastAsia="ko-KR"/>
              </w:rPr>
            </w:pPr>
            <w:r>
              <w:rPr>
                <w:rFonts w:cs="Arial"/>
                <w:lang w:eastAsia="zh-CN"/>
              </w:rPr>
              <w:t>We agree with Ericsson. We can use the SL measurement reporting for this release.</w:t>
            </w:r>
            <w:bookmarkStart w:id="1" w:name="_GoBack"/>
            <w:bookmarkEnd w:id="1"/>
          </w:p>
        </w:tc>
      </w:tr>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p>
    <w:p w14:paraId="1C783CC2" w14:textId="77777777" w:rsidR="00DC2CC0" w:rsidRDefault="00136560">
      <w:pPr>
        <w:pStyle w:val="Heading1"/>
        <w:ind w:left="1080" w:hanging="1080"/>
      </w:pPr>
      <w:r>
        <w:lastRenderedPageBreak/>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Heading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FC7EE" w14:textId="77777777" w:rsidR="0049221C" w:rsidRDefault="0049221C" w:rsidP="004E6CB3">
      <w:pPr>
        <w:spacing w:after="0" w:line="240" w:lineRule="auto"/>
      </w:pPr>
      <w:r>
        <w:separator/>
      </w:r>
    </w:p>
  </w:endnote>
  <w:endnote w:type="continuationSeparator" w:id="0">
    <w:p w14:paraId="14AFF521" w14:textId="77777777" w:rsidR="0049221C" w:rsidRDefault="0049221C"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88A34" w14:textId="77777777" w:rsidR="0049221C" w:rsidRDefault="0049221C" w:rsidP="004E6CB3">
      <w:pPr>
        <w:spacing w:after="0" w:line="240" w:lineRule="auto"/>
      </w:pPr>
      <w:r>
        <w:separator/>
      </w:r>
    </w:p>
  </w:footnote>
  <w:footnote w:type="continuationSeparator" w:id="0">
    <w:p w14:paraId="43624F7E" w14:textId="77777777" w:rsidR="0049221C" w:rsidRDefault="0049221C"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86D3D"/>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C3904"/>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B51B3B"/>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sid w:val="00F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EA68AA81-AE0E-4A6C-99E8-18FD454A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6042</Words>
  <Characters>34443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Philips - Jesus Gonzalez</cp:lastModifiedBy>
  <cp:revision>6</cp:revision>
  <dcterms:created xsi:type="dcterms:W3CDTF">2021-10-13T13:25:00Z</dcterms:created>
  <dcterms:modified xsi:type="dcterms:W3CDTF">2021-10-13T18:08:00Z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