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Heading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w:t>
      </w:r>
      <w:proofErr w:type="spellStart"/>
      <w:r w:rsidRPr="00E64ED5">
        <w:rPr>
          <w:szCs w:val="20"/>
        </w:rPr>
        <w:t>Rmax</w:t>
      </w:r>
      <w:proofErr w:type="spellEnd"/>
      <w:r w:rsidRPr="00E64ED5">
        <w:rPr>
          <w:szCs w:val="20"/>
        </w:rPr>
        <w:t>)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Heading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TableGrid"/>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A90D4E" w:rsidRPr="00E64ED5"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7777777" w:rsidR="00A90D4E" w:rsidRPr="00E64ED5"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001DD46" w14:textId="77777777" w:rsidR="00A90D4E" w:rsidRPr="00E64ED5" w:rsidRDefault="00A90D4E" w:rsidP="00632BB0">
            <w:pPr>
              <w:pStyle w:val="TAC"/>
              <w:rPr>
                <w:lang w:eastAsia="zh-CN"/>
              </w:rPr>
            </w:pPr>
          </w:p>
        </w:tc>
      </w:tr>
      <w:tr w:rsidR="00A90D4E" w:rsidRPr="00E64ED5"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93FDFB" w14:textId="77777777" w:rsidR="00A90D4E" w:rsidRPr="00E64ED5" w:rsidRDefault="00A90D4E" w:rsidP="00632BB0">
            <w:pPr>
              <w:pStyle w:val="TAC"/>
              <w:rPr>
                <w:lang w:eastAsia="ko-KR"/>
              </w:rPr>
            </w:pPr>
          </w:p>
        </w:tc>
      </w:tr>
      <w:tr w:rsidR="00A90D4E"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A90D4E" w:rsidRPr="00E64ED5"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A90D4E" w:rsidRPr="00E64ED5" w:rsidRDefault="00A90D4E" w:rsidP="00632BB0">
            <w:pPr>
              <w:pStyle w:val="TAC"/>
              <w:rPr>
                <w:lang w:eastAsia="zh-CN"/>
              </w:rPr>
            </w:pPr>
          </w:p>
        </w:tc>
      </w:tr>
      <w:tr w:rsidR="00A90D4E"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A90D4E" w:rsidRPr="00E64ED5"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A90D4E" w:rsidRPr="00E64ED5" w:rsidRDefault="00A90D4E" w:rsidP="00632BB0">
            <w:pPr>
              <w:pStyle w:val="TAC"/>
              <w:rPr>
                <w:lang w:eastAsia="zh-CN"/>
              </w:rPr>
            </w:pPr>
          </w:p>
        </w:tc>
      </w:tr>
      <w:tr w:rsidR="00A90D4E" w:rsidRPr="00E64ED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A90D4E" w:rsidRPr="00E64ED5" w:rsidRDefault="00A90D4E" w:rsidP="00632BB0">
            <w:pPr>
              <w:pStyle w:val="TAC"/>
              <w:rPr>
                <w:lang w:eastAsia="ko-KR"/>
              </w:rPr>
            </w:pPr>
          </w:p>
        </w:tc>
      </w:tr>
      <w:tr w:rsidR="00A90D4E" w:rsidRPr="00E64ED5"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A90D4E" w:rsidRPr="00E64ED5" w:rsidRDefault="00A90D4E" w:rsidP="00632BB0">
            <w:pPr>
              <w:pStyle w:val="TAC"/>
              <w:rPr>
                <w:lang w:eastAsia="ko-KR"/>
              </w:rPr>
            </w:pPr>
          </w:p>
        </w:tc>
      </w:tr>
      <w:tr w:rsidR="00A90D4E" w:rsidRPr="00E64ED5"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A90D4E" w:rsidRPr="00E64ED5" w:rsidRDefault="00A90D4E" w:rsidP="00632BB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A90D4E" w:rsidRPr="00E64ED5" w:rsidRDefault="00A90D4E" w:rsidP="00632BB0">
            <w:pPr>
              <w:pStyle w:val="TAC"/>
              <w:rPr>
                <w:lang w:val="en-US" w:eastAsia="zh-CN"/>
              </w:rPr>
            </w:pPr>
          </w:p>
        </w:tc>
      </w:tr>
      <w:tr w:rsidR="00A90D4E" w:rsidRPr="00E64ED5"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A90D4E" w:rsidRPr="00E64ED5" w:rsidRDefault="00A90D4E" w:rsidP="00632BB0">
            <w:pPr>
              <w:pStyle w:val="TAC"/>
              <w:rPr>
                <w:lang w:eastAsia="ko-KR"/>
              </w:rPr>
            </w:pPr>
          </w:p>
        </w:tc>
      </w:tr>
      <w:tr w:rsidR="00A90D4E" w:rsidRPr="00E64ED5"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A90D4E" w:rsidRPr="00E64ED5" w:rsidRDefault="00A90D4E" w:rsidP="00632BB0">
            <w:pPr>
              <w:pStyle w:val="TAC"/>
              <w:rPr>
                <w:lang w:eastAsia="ko-KR"/>
              </w:rPr>
            </w:pPr>
          </w:p>
        </w:tc>
      </w:tr>
      <w:tr w:rsidR="00A90D4E" w:rsidRPr="00E64ED5"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A90D4E" w:rsidRPr="00E64ED5" w:rsidRDefault="00A90D4E" w:rsidP="00632BB0">
            <w:pPr>
              <w:pStyle w:val="TAC"/>
              <w:rPr>
                <w:lang w:eastAsia="ko-KR"/>
              </w:rPr>
            </w:pPr>
          </w:p>
        </w:tc>
      </w:tr>
    </w:tbl>
    <w:p w14:paraId="45F01CDD" w14:textId="27903549" w:rsidR="00A90D4E" w:rsidRPr="00E64ED5" w:rsidRDefault="00A90D4E" w:rsidP="005A0608">
      <w:pPr>
        <w:pStyle w:val="Doc-text2"/>
        <w:ind w:left="0" w:firstLine="0"/>
        <w:rPr>
          <w:lang w:val="en-GB" w:eastAsia="en-GB"/>
        </w:rPr>
      </w:pPr>
    </w:p>
    <w:p w14:paraId="6258F3AE" w14:textId="1672FBF8" w:rsidR="00A90D4E" w:rsidRPr="00E64ED5" w:rsidRDefault="00A90D4E" w:rsidP="00F70292">
      <w:pPr>
        <w:pStyle w:val="Heading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w:t>
      </w:r>
      <w:proofErr w:type="spellStart"/>
      <w:r w:rsidRPr="00E64ED5">
        <w:rPr>
          <w:bCs/>
          <w:lang w:eastAsia="zh-CN"/>
        </w:rPr>
        <w:t>Rmax</w:t>
      </w:r>
      <w:proofErr w:type="spellEnd"/>
      <w:r w:rsidRPr="00E64ED5">
        <w:rPr>
          <w:bCs/>
          <w:lang w:eastAsia="zh-CN"/>
        </w:rPr>
        <w:t>)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016D6EF4" w:rsidR="008E15C1" w:rsidRDefault="0009481A" w:rsidP="000879DE">
      <w:pPr>
        <w:jc w:val="both"/>
      </w:pPr>
      <w:r>
        <w:t xml:space="preserve">In option 1c, the eNB provides an </w:t>
      </w:r>
      <w:proofErr w:type="spellStart"/>
      <w:r>
        <w:t>Rmax</w:t>
      </w:r>
      <w:proofErr w:type="spellEnd"/>
      <w:r>
        <w:t xml:space="preserve">/CEL value to the UE so that the UE can select a paging carrier based on such value when it is released to idle mode. In option 2a, the eNB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should the UE select in case there are multiple paging carrier with the same </w:t>
      </w:r>
      <w:proofErr w:type="spellStart"/>
      <w:r w:rsidR="00391706">
        <w:t>Rmax</w:t>
      </w:r>
      <w:proofErr w:type="spellEnd"/>
      <w:r w:rsidR="00391706">
        <w:t>/CEL value.</w:t>
      </w:r>
      <w:r w:rsidR="004E7B8A">
        <w:t xml:space="preserve"> </w:t>
      </w:r>
    </w:p>
    <w:p w14:paraId="641667FD" w14:textId="5E46376B"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 xml:space="preserve">the paging information container. For option 1c, it would be the </w:t>
      </w:r>
      <w:proofErr w:type="spellStart"/>
      <w:r w:rsidR="000879DE">
        <w:t>Rmax</w:t>
      </w:r>
      <w:proofErr w:type="spellEnd"/>
      <w:r w:rsidR="000879DE">
        <w:t>/CEL value and for option 2a it is the paging carrier</w:t>
      </w:r>
      <w:r w:rsidR="00ED0365">
        <w:t>.</w:t>
      </w:r>
    </w:p>
    <w:p w14:paraId="6A14448E" w14:textId="7542D32D"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w:t>
      </w:r>
      <w:proofErr w:type="gramStart"/>
      <w:r w:rsidR="00CC0D10">
        <w:t>same  since</w:t>
      </w:r>
      <w:proofErr w:type="gramEnd"/>
      <w:r w:rsidR="00CC0D10">
        <w:t xml:space="preserv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r w:rsidR="00EC6C09">
        <w:t xml:space="preserve">otherwise </w:t>
      </w:r>
      <w:r w:rsidR="00880420">
        <w:t xml:space="preserve">the </w:t>
      </w:r>
      <w:r w:rsidR="00EC6C09">
        <w:t>UE should use the fallback mechanism</w:t>
      </w:r>
      <w:r w:rsidR="00880420">
        <w:t>.</w:t>
      </w:r>
      <w:commentRangeStart w:id="1"/>
      <w:commentRangeEnd w:id="1"/>
    </w:p>
    <w:p w14:paraId="36E9E188" w14:textId="54555006"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ListParagraph"/>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E94010">
        <w:rPr>
          <w:rFonts w:ascii="Times New Roman" w:hAnsi="Times New Roman"/>
          <w:sz w:val="20"/>
          <w:lang w:val="sv-SE"/>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ListParagraph"/>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Heading2"/>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6090E82C"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Alt 2</w:t>
      </w:r>
      <w:r w:rsidR="00A961AF">
        <w:t xml:space="preserve"> will be beneficial, especially if the UE happens to in the same or better coverage with respect to the previous cell since there will not be any need for fallback and the UE would continue to monitor the paging carrier with the same </w:t>
      </w:r>
      <w:proofErr w:type="spellStart"/>
      <w:r w:rsidR="00A961AF">
        <w:t>Rmax</w:t>
      </w:r>
      <w:proofErr w:type="spellEnd"/>
      <w:r w:rsidR="00A961AF">
        <w:t>/CEL.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proofErr w:type="spellStart"/>
      <w:r w:rsidR="00117504" w:rsidRPr="00117504">
        <w:t>Rmax</w:t>
      </w:r>
      <w:proofErr w:type="spellEnd"/>
      <w:r w:rsidR="00117504" w:rsidRPr="00117504">
        <w:t xml:space="preserve"> value </w:t>
      </w:r>
      <w:r w:rsidR="00117504">
        <w:t>to determine the paging carrier</w:t>
      </w:r>
    </w:p>
    <w:p w14:paraId="1B31335A" w14:textId="625579E4" w:rsidR="00117504" w:rsidRDefault="00117504" w:rsidP="002C0092">
      <w:pPr>
        <w:jc w:val="both"/>
      </w:pPr>
      <w:r>
        <w:t xml:space="preserve">For option 2a or the second alternative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9B5213"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56959FD" w14:textId="77777777" w:rsidR="009B5213" w:rsidRPr="00E64ED5" w:rsidRDefault="009B5213" w:rsidP="000063EB">
            <w:pPr>
              <w:pStyle w:val="Comments"/>
              <w:spacing w:line="360" w:lineRule="auto"/>
              <w:jc w:val="both"/>
              <w:rPr>
                <w:b/>
                <w:i w:val="0"/>
              </w:rPr>
            </w:pPr>
          </w:p>
        </w:tc>
      </w:tr>
      <w:tr w:rsidR="009B5213"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8E69D59" w14:textId="77777777" w:rsidR="009B5213" w:rsidRPr="00E64ED5" w:rsidRDefault="009B5213" w:rsidP="000063EB">
            <w:pPr>
              <w:jc w:val="both"/>
              <w:rPr>
                <w:b/>
                <w:lang w:eastAsia="en-US"/>
              </w:rPr>
            </w:pPr>
          </w:p>
        </w:tc>
      </w:tr>
      <w:tr w:rsidR="009B5213"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77777777" w:rsidR="009B5213" w:rsidRPr="00E64ED5" w:rsidRDefault="009B5213" w:rsidP="000063EB">
            <w:pPr>
              <w:jc w:val="both"/>
              <w:rPr>
                <w:b/>
                <w:lang w:eastAsia="en-US"/>
              </w:rPr>
            </w:pPr>
          </w:p>
        </w:tc>
      </w:tr>
      <w:tr w:rsidR="009B5213"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249960B" w14:textId="77777777" w:rsidR="009B5213" w:rsidRPr="00E64ED5" w:rsidRDefault="009B5213" w:rsidP="000063EB">
            <w:pPr>
              <w:jc w:val="both"/>
              <w:rPr>
                <w:b/>
                <w:lang w:eastAsia="en-US"/>
              </w:rPr>
            </w:pPr>
          </w:p>
        </w:tc>
      </w:tr>
      <w:tr w:rsidR="009B5213"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6ADA4C" w14:textId="77777777" w:rsidR="009B5213" w:rsidRPr="00E64ED5" w:rsidRDefault="009B5213" w:rsidP="000063EB">
            <w:pPr>
              <w:jc w:val="both"/>
              <w:rPr>
                <w:b/>
                <w:lang w:eastAsia="en-US"/>
              </w:rPr>
            </w:pPr>
          </w:p>
        </w:tc>
      </w:tr>
      <w:tr w:rsidR="009B5213"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B207FBE" w14:textId="77777777" w:rsidR="009B5213" w:rsidRPr="00E64ED5" w:rsidRDefault="009B5213" w:rsidP="000063EB">
            <w:pPr>
              <w:jc w:val="both"/>
              <w:rPr>
                <w:b/>
                <w:lang w:eastAsia="en-US"/>
              </w:rPr>
            </w:pPr>
          </w:p>
        </w:tc>
      </w:tr>
      <w:tr w:rsidR="009B5213"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4BCFBA5" w14:textId="77777777" w:rsidR="009B5213" w:rsidRPr="00E64ED5" w:rsidRDefault="009B5213" w:rsidP="000063EB">
            <w:pPr>
              <w:jc w:val="both"/>
              <w:rPr>
                <w:b/>
                <w:sz w:val="22"/>
                <w:szCs w:val="22"/>
              </w:rPr>
            </w:pPr>
          </w:p>
        </w:tc>
      </w:tr>
      <w:tr w:rsidR="009B5213"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73A8F06" w14:textId="77777777" w:rsidR="009B5213" w:rsidRPr="00E64ED5" w:rsidRDefault="009B5213" w:rsidP="000063EB">
            <w:pPr>
              <w:jc w:val="both"/>
              <w:rPr>
                <w:b/>
                <w:bCs/>
                <w:sz w:val="22"/>
                <w:szCs w:val="22"/>
              </w:rPr>
            </w:pP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Heading2"/>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proofErr w:type="gramStart"/>
      <w:r>
        <w:t>floor(</w:t>
      </w:r>
      <w:proofErr w:type="gramEnd"/>
      <w:r>
        <w:t>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In Option 1c; the above formula needs to be computed by both eNB and individual UE and in option 2a it would be performed only by eNB</w:t>
      </w:r>
      <w:r>
        <w:rPr>
          <w:lang w:eastAsia="zh-CN"/>
        </w:rPr>
        <w:t>.</w:t>
      </w:r>
    </w:p>
    <w:p w14:paraId="7B350233" w14:textId="7055574D" w:rsidR="00FF7A8A" w:rsidRDefault="00975F0F" w:rsidP="000063EB">
      <w:pPr>
        <w:jc w:val="both"/>
        <w:rPr>
          <w:lang w:eastAsia="zh-CN"/>
        </w:rPr>
      </w:pPr>
      <w:r>
        <w:rPr>
          <w:lang w:eastAsia="zh-CN"/>
        </w:rPr>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 after cell reselection.</w:t>
      </w:r>
    </w:p>
    <w:p w14:paraId="4BD4DBEC" w14:textId="77777777" w:rsidR="00FF7A8A" w:rsidRDefault="00FF7A8A" w:rsidP="000063EB">
      <w:pPr>
        <w:jc w:val="both"/>
        <w:rPr>
          <w:lang w:eastAsia="zh-CN"/>
        </w:rPr>
      </w:pPr>
      <w:bookmarkStart w:id="2" w:name="_GoBack"/>
      <w:bookmarkEnd w:id="2"/>
    </w:p>
    <w:p w14:paraId="5ECB1D4F" w14:textId="675F61B2"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how Option 1c and Option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5C2364"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1923FE7A"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C8E8B6D" w14:textId="77777777" w:rsidR="005C2364" w:rsidRPr="00E64ED5" w:rsidRDefault="005C2364" w:rsidP="000063EB">
            <w:pPr>
              <w:pStyle w:val="Comments"/>
              <w:spacing w:line="360" w:lineRule="auto"/>
              <w:jc w:val="both"/>
              <w:rPr>
                <w:b/>
                <w:i w:val="0"/>
              </w:rPr>
            </w:pPr>
          </w:p>
        </w:tc>
      </w:tr>
      <w:tr w:rsidR="005C2364"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5B23726D"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CACB7DC" w14:textId="14E658A7" w:rsidR="005C2364" w:rsidRPr="00E64ED5" w:rsidRDefault="005C2364" w:rsidP="000063EB">
            <w:pPr>
              <w:jc w:val="both"/>
              <w:rPr>
                <w:b/>
                <w:lang w:eastAsia="en-US"/>
              </w:rPr>
            </w:pPr>
          </w:p>
        </w:tc>
      </w:tr>
      <w:tr w:rsidR="005C2364"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B4037DB" w14:textId="77777777" w:rsidR="005C2364" w:rsidRPr="00E64ED5" w:rsidRDefault="005C2364" w:rsidP="000063EB">
            <w:pPr>
              <w:jc w:val="both"/>
              <w:rPr>
                <w:b/>
                <w:lang w:eastAsia="en-US"/>
              </w:rPr>
            </w:pPr>
          </w:p>
        </w:tc>
      </w:tr>
      <w:tr w:rsidR="005C2364"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E96FFDA" w14:textId="77777777" w:rsidR="005C2364" w:rsidRPr="00E64ED5" w:rsidRDefault="005C2364" w:rsidP="000063EB">
            <w:pPr>
              <w:jc w:val="both"/>
              <w:rPr>
                <w:b/>
                <w:lang w:eastAsia="en-US"/>
              </w:rPr>
            </w:pPr>
          </w:p>
        </w:tc>
      </w:tr>
      <w:tr w:rsidR="005C2364"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787C8B" w14:textId="77777777" w:rsidR="005C2364" w:rsidRPr="00E64ED5" w:rsidRDefault="005C2364" w:rsidP="000063EB">
            <w:pPr>
              <w:jc w:val="both"/>
              <w:rPr>
                <w:b/>
                <w:lang w:eastAsia="en-US"/>
              </w:rPr>
            </w:pPr>
          </w:p>
        </w:tc>
      </w:tr>
      <w:tr w:rsidR="005C2364"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CC20DA8" w14:textId="77777777" w:rsidR="005C2364" w:rsidRPr="00E64ED5" w:rsidRDefault="005C2364" w:rsidP="000063EB">
            <w:pPr>
              <w:jc w:val="both"/>
              <w:rPr>
                <w:b/>
                <w:lang w:eastAsia="en-US"/>
              </w:rPr>
            </w:pPr>
          </w:p>
        </w:tc>
      </w:tr>
      <w:tr w:rsidR="005C2364"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6E8C827C"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9CE521E" w14:textId="77777777" w:rsidR="005C2364" w:rsidRPr="00E64ED5" w:rsidRDefault="005C2364" w:rsidP="000063EB">
            <w:pPr>
              <w:jc w:val="both"/>
              <w:rPr>
                <w:b/>
                <w:sz w:val="22"/>
                <w:szCs w:val="22"/>
              </w:rPr>
            </w:pPr>
          </w:p>
        </w:tc>
      </w:tr>
      <w:tr w:rsidR="005C2364"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AB0707F"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BE0421C" w14:textId="77777777" w:rsidR="005C2364" w:rsidRPr="00E64ED5" w:rsidRDefault="005C2364" w:rsidP="000063EB">
            <w:pPr>
              <w:jc w:val="both"/>
              <w:rPr>
                <w:b/>
                <w:bCs/>
                <w:sz w:val="22"/>
                <w:szCs w:val="22"/>
              </w:rPr>
            </w:pPr>
          </w:p>
        </w:tc>
      </w:tr>
    </w:tbl>
    <w:p w14:paraId="12474E94" w14:textId="77777777" w:rsidR="00D607B6"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Heading3"/>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 xml:space="preserve">different carriers may be configured with same </w:t>
      </w:r>
      <w:proofErr w:type="spellStart"/>
      <w:r w:rsidR="00453A9F">
        <w:t>Rmax</w:t>
      </w:r>
      <w:proofErr w:type="spellEnd"/>
      <w:r w:rsidR="00453A9F">
        <w:t xml:space="preserve">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2C9168C7" w:rsidR="00B93F3A" w:rsidRDefault="00B93F3A" w:rsidP="00B93F3A">
      <w:pPr>
        <w:jc w:val="both"/>
      </w:pPr>
      <w:r>
        <w:t>Q3: Companies are requested to illustrate the load balancing solution, how Option 1c and Option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w:t>
      </w:r>
      <w:proofErr w:type="spellStart"/>
      <w:r w:rsidR="005342F5">
        <w:t>Rmax</w:t>
      </w:r>
      <w:proofErr w:type="spellEnd"/>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5342F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E4782AB" w14:textId="77777777" w:rsidR="005342F5" w:rsidRPr="00E64ED5" w:rsidRDefault="005342F5" w:rsidP="002D6E33">
            <w:pPr>
              <w:pStyle w:val="Comments"/>
              <w:spacing w:line="360" w:lineRule="auto"/>
              <w:jc w:val="both"/>
              <w:rPr>
                <w:b/>
                <w:i w:val="0"/>
              </w:rPr>
            </w:pPr>
          </w:p>
        </w:tc>
      </w:tr>
      <w:tr w:rsidR="005342F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D33DB3A" w14:textId="77777777" w:rsidR="005342F5" w:rsidRPr="00E64ED5" w:rsidRDefault="005342F5" w:rsidP="002D6E33">
            <w:pPr>
              <w:jc w:val="both"/>
              <w:rPr>
                <w:b/>
                <w:lang w:eastAsia="en-US"/>
              </w:rPr>
            </w:pPr>
          </w:p>
        </w:tc>
      </w:tr>
      <w:tr w:rsidR="005342F5"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808E1D6" w14:textId="77777777" w:rsidR="005342F5" w:rsidRPr="00E64ED5" w:rsidRDefault="005342F5" w:rsidP="002D6E33">
            <w:pPr>
              <w:jc w:val="both"/>
              <w:rPr>
                <w:b/>
                <w:lang w:eastAsia="en-US"/>
              </w:rPr>
            </w:pPr>
          </w:p>
        </w:tc>
      </w:tr>
      <w:tr w:rsidR="005342F5"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2401E0E" w14:textId="77777777" w:rsidR="005342F5" w:rsidRPr="00E64ED5" w:rsidRDefault="005342F5" w:rsidP="002D6E33">
            <w:pPr>
              <w:jc w:val="both"/>
              <w:rPr>
                <w:b/>
                <w:lang w:eastAsia="en-US"/>
              </w:rPr>
            </w:pPr>
          </w:p>
        </w:tc>
      </w:tr>
      <w:tr w:rsidR="005342F5"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D7AF2D5" w14:textId="77777777" w:rsidR="005342F5" w:rsidRPr="00E64ED5" w:rsidRDefault="005342F5" w:rsidP="002D6E33">
            <w:pPr>
              <w:jc w:val="both"/>
              <w:rPr>
                <w:b/>
                <w:lang w:eastAsia="en-US"/>
              </w:rPr>
            </w:pPr>
          </w:p>
        </w:tc>
      </w:tr>
      <w:tr w:rsidR="005342F5"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3AC3013D" w14:textId="77777777" w:rsidR="005342F5" w:rsidRPr="00E64ED5" w:rsidRDefault="005342F5" w:rsidP="002D6E33">
            <w:pPr>
              <w:jc w:val="both"/>
              <w:rPr>
                <w:b/>
                <w:lang w:eastAsia="en-US"/>
              </w:rPr>
            </w:pPr>
          </w:p>
        </w:tc>
      </w:tr>
      <w:tr w:rsidR="005342F5"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B7E9D8" w14:textId="77777777" w:rsidR="005342F5" w:rsidRPr="00E64ED5" w:rsidRDefault="005342F5" w:rsidP="002D6E33">
            <w:pPr>
              <w:jc w:val="both"/>
              <w:rPr>
                <w:b/>
                <w:sz w:val="22"/>
                <w:szCs w:val="22"/>
              </w:rPr>
            </w:pPr>
          </w:p>
        </w:tc>
      </w:tr>
      <w:tr w:rsidR="005342F5"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2B217A8" w14:textId="77777777" w:rsidR="005342F5" w:rsidRPr="00E64ED5" w:rsidRDefault="005342F5" w:rsidP="002D6E33">
            <w:pPr>
              <w:jc w:val="both"/>
              <w:rPr>
                <w:b/>
                <w:bCs/>
                <w:sz w:val="22"/>
                <w:szCs w:val="22"/>
              </w:rPr>
            </w:pP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Heading2"/>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Heading3"/>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 xml:space="preserve">so that the associated </w:t>
      </w:r>
      <w:proofErr w:type="spellStart"/>
      <w:r w:rsidR="00EB15FF">
        <w:t>Rmax</w:t>
      </w:r>
      <w:proofErr w:type="spellEnd"/>
      <w:r w:rsidR="00EB15FF">
        <w:t>/CEL value changes</w:t>
      </w:r>
      <w:r>
        <w:t>.</w:t>
      </w:r>
      <w:r w:rsidR="001E19F4">
        <w:t xml:space="preserve"> </w:t>
      </w:r>
    </w:p>
    <w:p w14:paraId="4E40104A" w14:textId="23D70979" w:rsidR="00AE77F5" w:rsidRDefault="00A4002A" w:rsidP="000063EB">
      <w:pPr>
        <w:jc w:val="both"/>
      </w:pPr>
      <w:r>
        <w:rPr>
          <w:lang w:eastAsia="en-US"/>
        </w:rPr>
        <w:lastRenderedPageBreak/>
        <w:t xml:space="preserve">For option 1c, it has been stated that the network can reconfigure the paging carriers with respect to their </w:t>
      </w:r>
      <w:proofErr w:type="spellStart"/>
      <w:r>
        <w:rPr>
          <w:lang w:eastAsia="en-US"/>
        </w:rPr>
        <w:t>Rmax</w:t>
      </w:r>
      <w:proofErr w:type="spellEnd"/>
      <w:r>
        <w:rPr>
          <w:lang w:eastAsia="en-US"/>
        </w:rPr>
        <w:t xml:space="preserve">/CEL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AE77F5"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A0B5FFB" w14:textId="77777777" w:rsidR="00AE77F5" w:rsidRPr="00E64ED5" w:rsidRDefault="00AE77F5" w:rsidP="000063EB">
            <w:pPr>
              <w:pStyle w:val="Comments"/>
              <w:spacing w:line="360" w:lineRule="auto"/>
              <w:jc w:val="both"/>
              <w:rPr>
                <w:b/>
                <w:i w:val="0"/>
              </w:rPr>
            </w:pPr>
          </w:p>
        </w:tc>
      </w:tr>
      <w:tr w:rsidR="00AE77F5"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AD2B192" w14:textId="77777777" w:rsidR="00AE77F5" w:rsidRPr="00E64ED5" w:rsidRDefault="00AE77F5" w:rsidP="000063EB">
            <w:pPr>
              <w:jc w:val="both"/>
              <w:rPr>
                <w:b/>
                <w:lang w:eastAsia="en-US"/>
              </w:rPr>
            </w:pPr>
          </w:p>
        </w:tc>
      </w:tr>
      <w:tr w:rsidR="00AE77F5"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1462D27" w14:textId="77777777" w:rsidR="00AE77F5" w:rsidRPr="00E64ED5" w:rsidRDefault="00AE77F5" w:rsidP="000063EB">
            <w:pPr>
              <w:jc w:val="both"/>
              <w:rPr>
                <w:b/>
                <w:lang w:eastAsia="en-US"/>
              </w:rPr>
            </w:pPr>
          </w:p>
        </w:tc>
      </w:tr>
      <w:tr w:rsidR="00AE77F5"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CAC9A71" w14:textId="77777777" w:rsidR="00AE77F5" w:rsidRPr="00E64ED5" w:rsidRDefault="00AE77F5" w:rsidP="000063EB">
            <w:pPr>
              <w:jc w:val="both"/>
              <w:rPr>
                <w:b/>
                <w:lang w:eastAsia="en-US"/>
              </w:rPr>
            </w:pPr>
          </w:p>
        </w:tc>
      </w:tr>
      <w:tr w:rsidR="00AE77F5"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A4A73B4" w14:textId="77777777" w:rsidR="00AE77F5" w:rsidRPr="00E64ED5" w:rsidRDefault="00AE77F5" w:rsidP="000063EB">
            <w:pPr>
              <w:jc w:val="both"/>
              <w:rPr>
                <w:b/>
                <w:lang w:eastAsia="en-US"/>
              </w:rPr>
            </w:pPr>
          </w:p>
        </w:tc>
      </w:tr>
      <w:tr w:rsidR="00AE77F5"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605DF3D" w14:textId="77777777" w:rsidR="00AE77F5" w:rsidRPr="00E64ED5" w:rsidRDefault="00AE77F5" w:rsidP="000063EB">
            <w:pPr>
              <w:jc w:val="both"/>
              <w:rPr>
                <w:b/>
                <w:lang w:eastAsia="en-US"/>
              </w:rPr>
            </w:pPr>
          </w:p>
        </w:tc>
      </w:tr>
      <w:tr w:rsidR="00AE77F5"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B3DA83" w14:textId="77777777" w:rsidR="00AE77F5" w:rsidRPr="00E64ED5" w:rsidRDefault="00AE77F5" w:rsidP="000063EB">
            <w:pPr>
              <w:jc w:val="both"/>
              <w:rPr>
                <w:b/>
                <w:sz w:val="22"/>
                <w:szCs w:val="22"/>
              </w:rPr>
            </w:pPr>
          </w:p>
        </w:tc>
      </w:tr>
      <w:tr w:rsidR="00AE77F5"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44D5E3C" w14:textId="77777777" w:rsidR="00AE77F5" w:rsidRPr="00E64ED5" w:rsidRDefault="00AE77F5" w:rsidP="000063EB">
            <w:pPr>
              <w:jc w:val="both"/>
              <w:rPr>
                <w:b/>
                <w:bCs/>
                <w:sz w:val="22"/>
                <w:szCs w:val="22"/>
              </w:rPr>
            </w:pP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Heading3"/>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proofErr w:type="gramStart"/>
      <w:r w:rsidR="00FC4C59">
        <w:rPr>
          <w:lang w:eastAsia="en-US"/>
        </w:rPr>
        <w:t>boosted</w:t>
      </w:r>
      <w:proofErr w:type="gramEnd"/>
      <w:r w:rsidR="00571A73">
        <w:rPr>
          <w:lang w:eastAsia="en-US"/>
        </w:rPr>
        <w:t xml:space="preserve"> or a power boosted paging carrier is released.</w:t>
      </w:r>
    </w:p>
    <w:p w14:paraId="537F6781" w14:textId="01757987" w:rsidR="004F67B7" w:rsidRDefault="00DD389C" w:rsidP="004F67B7">
      <w:pPr>
        <w:jc w:val="both"/>
      </w:pPr>
      <w:r>
        <w:t xml:space="preserve">Q5 </w:t>
      </w:r>
      <w:r w:rsidR="00571A73">
        <w:t>Companies are requested to provide their views regarding how scenarios mentioned above are handles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DD389C"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BF29179" w14:textId="77777777" w:rsidR="00DD389C" w:rsidRPr="00E64ED5" w:rsidRDefault="00DD389C" w:rsidP="002D6E33">
            <w:pPr>
              <w:pStyle w:val="Comments"/>
              <w:spacing w:line="360" w:lineRule="auto"/>
              <w:jc w:val="both"/>
              <w:rPr>
                <w:b/>
                <w:i w:val="0"/>
              </w:rPr>
            </w:pPr>
          </w:p>
        </w:tc>
      </w:tr>
      <w:tr w:rsidR="00DD389C"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4AE668E" w14:textId="77777777" w:rsidR="00DD389C" w:rsidRPr="00E64ED5" w:rsidRDefault="00DD389C" w:rsidP="002D6E33">
            <w:pPr>
              <w:jc w:val="both"/>
              <w:rPr>
                <w:b/>
                <w:lang w:eastAsia="en-US"/>
              </w:rPr>
            </w:pPr>
          </w:p>
        </w:tc>
      </w:tr>
      <w:tr w:rsidR="00DD389C"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67620E2" w14:textId="77777777" w:rsidR="00DD389C" w:rsidRPr="00E64ED5" w:rsidRDefault="00DD389C" w:rsidP="002D6E33">
            <w:pPr>
              <w:jc w:val="both"/>
              <w:rPr>
                <w:b/>
                <w:lang w:eastAsia="en-US"/>
              </w:rPr>
            </w:pPr>
          </w:p>
        </w:tc>
      </w:tr>
      <w:tr w:rsidR="00DD389C"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8463950" w14:textId="77777777" w:rsidR="00DD389C" w:rsidRPr="00E64ED5" w:rsidRDefault="00DD389C" w:rsidP="002D6E33">
            <w:pPr>
              <w:jc w:val="both"/>
              <w:rPr>
                <w:b/>
                <w:lang w:eastAsia="en-US"/>
              </w:rPr>
            </w:pPr>
          </w:p>
        </w:tc>
      </w:tr>
      <w:tr w:rsidR="00DD389C"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4EAB1B4B" w14:textId="77777777" w:rsidR="00DD389C" w:rsidRPr="00E64ED5" w:rsidRDefault="00DD389C" w:rsidP="002D6E33">
            <w:pPr>
              <w:jc w:val="both"/>
              <w:rPr>
                <w:b/>
                <w:lang w:eastAsia="en-US"/>
              </w:rPr>
            </w:pPr>
          </w:p>
        </w:tc>
      </w:tr>
      <w:tr w:rsidR="00DD389C"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232C55" w14:textId="77777777" w:rsidR="00DD389C" w:rsidRPr="00E64ED5" w:rsidRDefault="00DD389C" w:rsidP="002D6E33">
            <w:pPr>
              <w:jc w:val="both"/>
              <w:rPr>
                <w:b/>
                <w:lang w:eastAsia="en-US"/>
              </w:rPr>
            </w:pPr>
          </w:p>
        </w:tc>
      </w:tr>
      <w:tr w:rsidR="00DD389C"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7E39E551" w14:textId="77777777" w:rsidR="00DD389C" w:rsidRPr="00E64ED5" w:rsidRDefault="00DD389C" w:rsidP="002D6E33">
            <w:pPr>
              <w:jc w:val="both"/>
              <w:rPr>
                <w:b/>
                <w:sz w:val="22"/>
                <w:szCs w:val="22"/>
              </w:rPr>
            </w:pPr>
          </w:p>
        </w:tc>
      </w:tr>
      <w:tr w:rsidR="00DD389C"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DD389C" w:rsidRPr="00E64ED5" w:rsidRDefault="00DD389C" w:rsidP="002D6E33">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Heading2"/>
        <w:jc w:val="both"/>
      </w:pPr>
      <w:r w:rsidRPr="00E64ED5">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lastRenderedPageBreak/>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 xml:space="preserve">a) </w:t>
      </w:r>
      <w:proofErr w:type="spellStart"/>
      <w:r>
        <w:t>Rmax</w:t>
      </w:r>
      <w:proofErr w:type="spellEnd"/>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proofErr w:type="gramStart"/>
      <w:r>
        <w:t>floor(</w:t>
      </w:r>
      <w:proofErr w:type="gramEnd"/>
      <w:r>
        <w:t>UE_ID/(N*Ns)) mod W &lt; W(0) + W(1) + … + W(n)</w:t>
      </w:r>
    </w:p>
    <w:p w14:paraId="1BE5584C" w14:textId="1FE4A129" w:rsidR="002E2EC2" w:rsidRDefault="002E2EC2" w:rsidP="000063EB">
      <w:pPr>
        <w:jc w:val="both"/>
      </w:pPr>
      <w:r>
        <w:t xml:space="preserve">How would the above </w:t>
      </w:r>
      <w:proofErr w:type="spellStart"/>
      <w:r>
        <w:t>Rmax</w:t>
      </w:r>
      <w:proofErr w:type="spellEnd"/>
      <w:r>
        <w:t xml:space="preserve"> and DRX based selection would be accommodated by the above formula. What updates are needed</w:t>
      </w:r>
      <w:r w:rsidR="00C44F03">
        <w:t>; if any</w:t>
      </w:r>
      <w:r>
        <w:t>?</w:t>
      </w:r>
    </w:p>
    <w:p w14:paraId="48790A4A" w14:textId="45D5CD4A" w:rsidR="002E2EC2" w:rsidRDefault="002E2EC2" w:rsidP="000063EB">
      <w:pPr>
        <w:jc w:val="both"/>
      </w:pPr>
      <w:r>
        <w:t>Q</w:t>
      </w:r>
      <w:r w:rsidR="00192B87">
        <w:t>6</w:t>
      </w:r>
      <w:r>
        <w:t>: Companies are requested to provide details of formula update needed to support each of their preferred Options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2E2EC2"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283761" w14:textId="77777777" w:rsidR="002E2EC2" w:rsidRPr="00E64ED5" w:rsidRDefault="002E2EC2" w:rsidP="000063EB">
            <w:pPr>
              <w:pStyle w:val="Comments"/>
              <w:spacing w:line="360" w:lineRule="auto"/>
              <w:jc w:val="both"/>
              <w:rPr>
                <w:b/>
                <w:i w:val="0"/>
              </w:rPr>
            </w:pPr>
          </w:p>
        </w:tc>
      </w:tr>
      <w:tr w:rsidR="002E2EC2"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E4F7B5C" w14:textId="77777777" w:rsidR="002E2EC2" w:rsidRPr="00E64ED5" w:rsidRDefault="002E2EC2" w:rsidP="000063EB">
            <w:pPr>
              <w:jc w:val="both"/>
              <w:rPr>
                <w:b/>
                <w:lang w:eastAsia="en-US"/>
              </w:rPr>
            </w:pPr>
          </w:p>
        </w:tc>
      </w:tr>
      <w:tr w:rsidR="002E2EC2" w:rsidRPr="00E64ED5" w14:paraId="7F4F5298"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9268F40"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52673D" w14:textId="77777777" w:rsidR="002E2EC2" w:rsidRPr="00E64ED5" w:rsidRDefault="002E2EC2" w:rsidP="000063EB">
            <w:pPr>
              <w:jc w:val="both"/>
              <w:rPr>
                <w:b/>
                <w:lang w:eastAsia="en-US"/>
              </w:rPr>
            </w:pPr>
          </w:p>
        </w:tc>
      </w:tr>
      <w:tr w:rsidR="002E2EC2"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67550A3" w14:textId="77777777" w:rsidR="002E2EC2" w:rsidRPr="00E64ED5" w:rsidRDefault="002E2EC2" w:rsidP="000063EB">
            <w:pPr>
              <w:jc w:val="both"/>
              <w:rPr>
                <w:b/>
                <w:lang w:eastAsia="en-US"/>
              </w:rPr>
            </w:pPr>
          </w:p>
        </w:tc>
      </w:tr>
      <w:tr w:rsidR="002E2EC2"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CDE14EC" w14:textId="77777777" w:rsidR="002E2EC2" w:rsidRPr="00E64ED5" w:rsidRDefault="002E2EC2" w:rsidP="000063EB">
            <w:pPr>
              <w:jc w:val="both"/>
              <w:rPr>
                <w:b/>
                <w:lang w:eastAsia="en-US"/>
              </w:rPr>
            </w:pPr>
          </w:p>
        </w:tc>
      </w:tr>
      <w:tr w:rsidR="002E2EC2"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469D6C5" w14:textId="77777777" w:rsidR="002E2EC2" w:rsidRPr="00E64ED5" w:rsidRDefault="002E2EC2" w:rsidP="000063EB">
            <w:pPr>
              <w:jc w:val="both"/>
              <w:rPr>
                <w:b/>
                <w:lang w:eastAsia="en-US"/>
              </w:rPr>
            </w:pPr>
          </w:p>
        </w:tc>
      </w:tr>
      <w:tr w:rsidR="002E2EC2"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A8D6B4" w14:textId="77777777" w:rsidR="002E2EC2" w:rsidRPr="00E64ED5" w:rsidRDefault="002E2EC2" w:rsidP="000063EB">
            <w:pPr>
              <w:jc w:val="both"/>
              <w:rPr>
                <w:b/>
                <w:sz w:val="22"/>
                <w:szCs w:val="22"/>
              </w:rPr>
            </w:pPr>
          </w:p>
        </w:tc>
      </w:tr>
      <w:tr w:rsidR="002E2EC2"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19A3E26" w14:textId="77777777" w:rsidR="002E2EC2" w:rsidRPr="00E64ED5" w:rsidRDefault="002E2EC2" w:rsidP="000063EB">
            <w:pPr>
              <w:jc w:val="both"/>
              <w:rPr>
                <w:b/>
                <w:bCs/>
                <w:sz w:val="22"/>
                <w:szCs w:val="22"/>
              </w:rPr>
            </w:pPr>
          </w:p>
        </w:tc>
      </w:tr>
    </w:tbl>
    <w:p w14:paraId="4298F8D1" w14:textId="77777777" w:rsidR="002E2EC2" w:rsidRDefault="002E2EC2" w:rsidP="000063EB">
      <w:pPr>
        <w:jc w:val="both"/>
      </w:pPr>
    </w:p>
    <w:p w14:paraId="018E39A7" w14:textId="21330A10" w:rsidR="002E2EC2" w:rsidRDefault="002E2EC2" w:rsidP="000063EB">
      <w:pPr>
        <w:jc w:val="both"/>
      </w:pPr>
      <w:r>
        <w:t>Q</w:t>
      </w:r>
      <w:r w:rsidR="00192B87">
        <w:t>7</w:t>
      </w:r>
      <w:r>
        <w:t xml:space="preserve">: Companies are requested to give input on the steps that UE would need to perform for the carrier selection considering multiple factors such as </w:t>
      </w:r>
      <w:proofErr w:type="spellStart"/>
      <w:r>
        <w:t>Rmax</w:t>
      </w:r>
      <w:proofErr w:type="spellEnd"/>
      <w:r>
        <w:t xml:space="preserve"> and DRX and describe the UE implementation effort/complexity level for their preferred option or can also provide for both options?</w:t>
      </w:r>
    </w:p>
    <w:p w14:paraId="48467955"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2E2EC2"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F45808E" w14:textId="77777777" w:rsidR="002E2EC2" w:rsidRPr="00E64ED5" w:rsidRDefault="002E2EC2" w:rsidP="000063EB">
            <w:pPr>
              <w:pStyle w:val="Comments"/>
              <w:spacing w:line="360" w:lineRule="auto"/>
              <w:jc w:val="both"/>
              <w:rPr>
                <w:b/>
                <w:i w:val="0"/>
              </w:rPr>
            </w:pPr>
          </w:p>
        </w:tc>
      </w:tr>
      <w:tr w:rsidR="002E2EC2"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6FBBCED4" w14:textId="77777777" w:rsidR="002E2EC2" w:rsidRPr="00E64ED5" w:rsidRDefault="002E2EC2" w:rsidP="000063EB">
            <w:pPr>
              <w:jc w:val="both"/>
              <w:rPr>
                <w:b/>
                <w:lang w:eastAsia="en-US"/>
              </w:rPr>
            </w:pPr>
          </w:p>
        </w:tc>
      </w:tr>
      <w:tr w:rsidR="002E2EC2" w:rsidRPr="00E64ED5" w14:paraId="4DC3436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CB9FFE"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C59A75" w14:textId="77777777" w:rsidR="002E2EC2" w:rsidRPr="00E64ED5" w:rsidRDefault="002E2EC2" w:rsidP="000063EB">
            <w:pPr>
              <w:jc w:val="both"/>
              <w:rPr>
                <w:b/>
                <w:lang w:eastAsia="en-US"/>
              </w:rPr>
            </w:pPr>
          </w:p>
        </w:tc>
      </w:tr>
      <w:tr w:rsidR="002E2EC2"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64F542AD" w14:textId="77777777" w:rsidR="002E2EC2" w:rsidRPr="00E64ED5" w:rsidRDefault="002E2EC2" w:rsidP="000063EB">
            <w:pPr>
              <w:jc w:val="both"/>
              <w:rPr>
                <w:b/>
                <w:lang w:eastAsia="en-US"/>
              </w:rPr>
            </w:pPr>
          </w:p>
        </w:tc>
      </w:tr>
      <w:tr w:rsidR="002E2EC2"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2E2EC2" w:rsidRPr="00E64ED5" w:rsidRDefault="002E2EC2" w:rsidP="000063EB">
            <w:pPr>
              <w:jc w:val="both"/>
              <w:rPr>
                <w:b/>
                <w:lang w:eastAsia="en-US"/>
              </w:rPr>
            </w:pPr>
          </w:p>
        </w:tc>
      </w:tr>
      <w:tr w:rsidR="002E2EC2"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DA23176" w14:textId="77777777" w:rsidR="002E2EC2" w:rsidRPr="00E64ED5" w:rsidRDefault="002E2EC2" w:rsidP="000063EB">
            <w:pPr>
              <w:jc w:val="both"/>
              <w:rPr>
                <w:b/>
                <w:lang w:eastAsia="en-US"/>
              </w:rPr>
            </w:pPr>
          </w:p>
        </w:tc>
      </w:tr>
      <w:tr w:rsidR="002E2EC2"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43BB3AD0" w14:textId="77777777" w:rsidR="002E2EC2" w:rsidRPr="00E64ED5" w:rsidRDefault="002E2EC2" w:rsidP="000063EB">
            <w:pPr>
              <w:jc w:val="both"/>
              <w:rPr>
                <w:b/>
                <w:sz w:val="22"/>
                <w:szCs w:val="22"/>
              </w:rPr>
            </w:pPr>
          </w:p>
        </w:tc>
      </w:tr>
      <w:tr w:rsidR="002E2EC2"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881E1D" w14:textId="77777777" w:rsidR="002E2EC2" w:rsidRPr="00E64ED5" w:rsidRDefault="002E2EC2" w:rsidP="000063EB">
            <w:pPr>
              <w:jc w:val="both"/>
              <w:rPr>
                <w:b/>
                <w:bCs/>
                <w:sz w:val="22"/>
                <w:szCs w:val="22"/>
              </w:rPr>
            </w:pPr>
          </w:p>
        </w:tc>
      </w:tr>
    </w:tbl>
    <w:p w14:paraId="624F64BD" w14:textId="77777777" w:rsidR="002E2EC2" w:rsidRDefault="002E2EC2" w:rsidP="000063EB">
      <w:pPr>
        <w:jc w:val="both"/>
      </w:pPr>
    </w:p>
    <w:p w14:paraId="1AD89123" w14:textId="63A1ED56" w:rsidR="002E2EC2" w:rsidRDefault="002E2EC2" w:rsidP="000063EB">
      <w:pPr>
        <w:jc w:val="both"/>
      </w:pPr>
      <w:r>
        <w:lastRenderedPageBreak/>
        <w:t>Q</w:t>
      </w:r>
      <w:r w:rsidR="00192B87">
        <w:t>8</w:t>
      </w:r>
      <w:r>
        <w:t xml:space="preserve">: Companies are requested to give input on the steps that eNB would need to perform the carrier selection considering multiple factors such as </w:t>
      </w:r>
      <w:proofErr w:type="spellStart"/>
      <w:r>
        <w:t>Rmax</w:t>
      </w:r>
      <w:proofErr w:type="spellEnd"/>
      <w:r>
        <w:t xml:space="preserve">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2E2EC2"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D8E1BDC" w14:textId="77777777" w:rsidR="002E2EC2" w:rsidRPr="00E64ED5" w:rsidRDefault="002E2EC2" w:rsidP="000063EB">
            <w:pPr>
              <w:pStyle w:val="Comments"/>
              <w:spacing w:line="360" w:lineRule="auto"/>
              <w:jc w:val="both"/>
              <w:rPr>
                <w:b/>
                <w:i w:val="0"/>
              </w:rPr>
            </w:pPr>
          </w:p>
        </w:tc>
      </w:tr>
      <w:tr w:rsidR="002E2EC2"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B578655" w14:textId="77777777" w:rsidR="002E2EC2" w:rsidRPr="00E64ED5" w:rsidRDefault="002E2EC2" w:rsidP="000063EB">
            <w:pPr>
              <w:jc w:val="both"/>
              <w:rPr>
                <w:b/>
                <w:lang w:eastAsia="en-US"/>
              </w:rPr>
            </w:pPr>
          </w:p>
        </w:tc>
      </w:tr>
      <w:tr w:rsidR="002E2EC2"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378BB18" w14:textId="77777777" w:rsidR="002E2EC2" w:rsidRPr="00E64ED5" w:rsidRDefault="002E2EC2" w:rsidP="000063EB">
            <w:pPr>
              <w:jc w:val="both"/>
              <w:rPr>
                <w:b/>
                <w:lang w:eastAsia="en-US"/>
              </w:rPr>
            </w:pPr>
          </w:p>
        </w:tc>
      </w:tr>
      <w:tr w:rsidR="002E2EC2"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619EEBC" w14:textId="77777777" w:rsidR="002E2EC2" w:rsidRPr="00E64ED5" w:rsidRDefault="002E2EC2" w:rsidP="000063EB">
            <w:pPr>
              <w:jc w:val="both"/>
              <w:rPr>
                <w:b/>
                <w:lang w:eastAsia="en-US"/>
              </w:rPr>
            </w:pPr>
          </w:p>
        </w:tc>
      </w:tr>
      <w:tr w:rsidR="002E2EC2" w:rsidRPr="00E64ED5" w14:paraId="4F721B1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34DA119"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42A2249" w14:textId="77777777" w:rsidR="002E2EC2" w:rsidRPr="00E64ED5" w:rsidRDefault="002E2EC2" w:rsidP="000063EB">
            <w:pPr>
              <w:jc w:val="both"/>
              <w:rPr>
                <w:b/>
                <w:lang w:eastAsia="en-US"/>
              </w:rPr>
            </w:pPr>
          </w:p>
        </w:tc>
      </w:tr>
      <w:tr w:rsidR="002E2EC2"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DD3BAAA" w14:textId="77777777" w:rsidR="002E2EC2" w:rsidRPr="00E64ED5" w:rsidRDefault="002E2EC2" w:rsidP="000063EB">
            <w:pPr>
              <w:jc w:val="both"/>
              <w:rPr>
                <w:b/>
                <w:lang w:eastAsia="en-US"/>
              </w:rPr>
            </w:pPr>
          </w:p>
        </w:tc>
      </w:tr>
      <w:tr w:rsidR="002E2EC2"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DBAC5C7" w14:textId="77777777" w:rsidR="002E2EC2" w:rsidRPr="00E64ED5" w:rsidRDefault="002E2EC2" w:rsidP="000063EB">
            <w:pPr>
              <w:jc w:val="both"/>
              <w:rPr>
                <w:b/>
                <w:sz w:val="22"/>
                <w:szCs w:val="22"/>
              </w:rPr>
            </w:pPr>
          </w:p>
        </w:tc>
      </w:tr>
      <w:tr w:rsidR="002E2EC2"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E7DF35B" w14:textId="77777777" w:rsidR="002E2EC2" w:rsidRPr="00E64ED5" w:rsidRDefault="002E2EC2" w:rsidP="000063EB">
            <w:pPr>
              <w:jc w:val="both"/>
              <w:rPr>
                <w:b/>
                <w:bCs/>
                <w:sz w:val="22"/>
                <w:szCs w:val="22"/>
              </w:rPr>
            </w:pP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1c</w:t>
      </w:r>
    </w:p>
    <w:p w14:paraId="2A68D566"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2a</w:t>
      </w:r>
    </w:p>
    <w:p w14:paraId="12CF80F8"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2E2EC2" w:rsidRPr="00E64ED5" w14:paraId="1FF99870"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77777777" w:rsidR="002E2EC2" w:rsidRPr="008724F2" w:rsidRDefault="002E2EC2" w:rsidP="000063EB">
            <w:pPr>
              <w:snapToGrid w:val="0"/>
              <w:spacing w:after="160"/>
              <w:jc w:val="both"/>
              <w:rPr>
                <w:bCs/>
                <w:iCs/>
              </w:rPr>
            </w:pPr>
          </w:p>
        </w:tc>
        <w:tc>
          <w:tcPr>
            <w:tcW w:w="3460" w:type="pct"/>
            <w:tcBorders>
              <w:top w:val="single" w:sz="4" w:space="0" w:color="auto"/>
              <w:left w:val="single" w:sz="4" w:space="0" w:color="auto"/>
              <w:bottom w:val="single" w:sz="4" w:space="0" w:color="auto"/>
              <w:right w:val="single" w:sz="4" w:space="0" w:color="auto"/>
            </w:tcBorders>
          </w:tcPr>
          <w:p w14:paraId="6B045339" w14:textId="77777777" w:rsidR="002E2EC2" w:rsidRPr="00E64ED5" w:rsidRDefault="002E2EC2" w:rsidP="000063EB">
            <w:pPr>
              <w:pStyle w:val="Comments"/>
              <w:spacing w:line="360" w:lineRule="auto"/>
              <w:jc w:val="both"/>
              <w:rPr>
                <w:b/>
                <w:i w:val="0"/>
              </w:rPr>
            </w:pPr>
          </w:p>
        </w:tc>
      </w:tr>
      <w:tr w:rsidR="002E2EC2" w:rsidRPr="00E64ED5" w14:paraId="711193A9"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2502A21A" w14:textId="77777777" w:rsidR="002E2EC2" w:rsidRPr="00E64ED5" w:rsidRDefault="002E2EC2" w:rsidP="000063EB">
            <w:pPr>
              <w:jc w:val="both"/>
              <w:rPr>
                <w:b/>
                <w:lang w:eastAsia="en-US"/>
              </w:rPr>
            </w:pPr>
          </w:p>
        </w:tc>
      </w:tr>
      <w:tr w:rsidR="002E2EC2" w:rsidRPr="00E64ED5" w14:paraId="27262383"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1718A2B1" w14:textId="77777777" w:rsidR="002E2EC2" w:rsidRPr="00E64ED5" w:rsidRDefault="002E2EC2" w:rsidP="000063EB">
            <w:pPr>
              <w:jc w:val="both"/>
              <w:rPr>
                <w:b/>
                <w:lang w:eastAsia="en-US"/>
              </w:rPr>
            </w:pPr>
          </w:p>
        </w:tc>
      </w:tr>
      <w:tr w:rsidR="002E2EC2" w:rsidRPr="00E64ED5" w14:paraId="5CB31085"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2EFDE125" w14:textId="77777777" w:rsidR="002E2EC2" w:rsidRPr="00E64ED5" w:rsidRDefault="002E2EC2" w:rsidP="000063EB">
            <w:pPr>
              <w:jc w:val="both"/>
              <w:rPr>
                <w:b/>
                <w:lang w:eastAsia="en-US"/>
              </w:rPr>
            </w:pPr>
          </w:p>
        </w:tc>
      </w:tr>
      <w:tr w:rsidR="002E2EC2" w:rsidRPr="00E64ED5" w14:paraId="6B76E106"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2C26E6F4" w14:textId="77777777" w:rsidR="002E2EC2" w:rsidRPr="00E64ED5" w:rsidRDefault="002E2EC2" w:rsidP="000063EB">
            <w:pPr>
              <w:jc w:val="both"/>
              <w:rPr>
                <w:b/>
                <w:lang w:eastAsia="en-US"/>
              </w:rPr>
            </w:pPr>
          </w:p>
        </w:tc>
      </w:tr>
      <w:tr w:rsidR="002E2EC2" w:rsidRPr="00E64ED5" w14:paraId="62EDBF83"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6AB5FE68" w14:textId="77777777" w:rsidR="002E2EC2" w:rsidRPr="00E64ED5" w:rsidRDefault="002E2EC2" w:rsidP="000063EB">
            <w:pPr>
              <w:jc w:val="both"/>
              <w:rPr>
                <w:b/>
                <w:lang w:eastAsia="en-US"/>
              </w:rPr>
            </w:pPr>
          </w:p>
        </w:tc>
      </w:tr>
      <w:tr w:rsidR="002E2EC2" w:rsidRPr="00E64ED5" w14:paraId="534BC98A"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77777777" w:rsidR="002E2EC2" w:rsidRPr="00E64ED5" w:rsidRDefault="002E2EC2" w:rsidP="000063EB">
            <w:pPr>
              <w:jc w:val="both"/>
              <w:rPr>
                <w:b/>
                <w:sz w:val="22"/>
                <w:szCs w:val="22"/>
              </w:rPr>
            </w:pPr>
          </w:p>
        </w:tc>
        <w:tc>
          <w:tcPr>
            <w:tcW w:w="3460" w:type="pct"/>
            <w:tcBorders>
              <w:top w:val="single" w:sz="4" w:space="0" w:color="auto"/>
              <w:left w:val="single" w:sz="4" w:space="0" w:color="auto"/>
              <w:bottom w:val="single" w:sz="4" w:space="0" w:color="auto"/>
              <w:right w:val="single" w:sz="4" w:space="0" w:color="auto"/>
            </w:tcBorders>
          </w:tcPr>
          <w:p w14:paraId="128D56E8" w14:textId="77777777" w:rsidR="002E2EC2" w:rsidRPr="00E64ED5" w:rsidRDefault="002E2EC2" w:rsidP="000063EB">
            <w:pPr>
              <w:jc w:val="both"/>
              <w:rPr>
                <w:b/>
                <w:sz w:val="22"/>
                <w:szCs w:val="22"/>
              </w:rPr>
            </w:pPr>
          </w:p>
        </w:tc>
      </w:tr>
      <w:tr w:rsidR="002E2EC2" w:rsidRPr="00E64ED5" w14:paraId="3662D97F"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77777777" w:rsidR="002E2EC2" w:rsidRPr="00E64ED5" w:rsidRDefault="002E2EC2" w:rsidP="000063EB">
            <w:pPr>
              <w:jc w:val="both"/>
              <w:rPr>
                <w:b/>
                <w:sz w:val="22"/>
                <w:szCs w:val="22"/>
              </w:rPr>
            </w:pPr>
          </w:p>
        </w:tc>
        <w:tc>
          <w:tcPr>
            <w:tcW w:w="3460" w:type="pct"/>
            <w:tcBorders>
              <w:top w:val="single" w:sz="4" w:space="0" w:color="auto"/>
              <w:left w:val="single" w:sz="4" w:space="0" w:color="auto"/>
              <w:bottom w:val="single" w:sz="4" w:space="0" w:color="auto"/>
              <w:right w:val="single" w:sz="4" w:space="0" w:color="auto"/>
            </w:tcBorders>
          </w:tcPr>
          <w:p w14:paraId="6A400DEB" w14:textId="77777777" w:rsidR="002E2EC2" w:rsidRPr="00E64ED5" w:rsidRDefault="002E2EC2" w:rsidP="000063EB">
            <w:pPr>
              <w:jc w:val="both"/>
              <w:rPr>
                <w:b/>
                <w:bCs/>
                <w:sz w:val="22"/>
                <w:szCs w:val="22"/>
              </w:rPr>
            </w:pP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Heading2"/>
        <w:jc w:val="both"/>
        <w:rPr>
          <w:lang w:eastAsia="zh-CN"/>
        </w:rPr>
      </w:pPr>
      <w:r w:rsidRPr="00E64ED5">
        <w:lastRenderedPageBreak/>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3053A6"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31B8FF63" w14:textId="77777777" w:rsidR="003053A6" w:rsidRPr="00E64ED5" w:rsidRDefault="003053A6" w:rsidP="000063EB">
            <w:pPr>
              <w:pStyle w:val="Comments"/>
              <w:spacing w:line="360" w:lineRule="auto"/>
              <w:jc w:val="both"/>
              <w:rPr>
                <w:b/>
                <w:i w:val="0"/>
              </w:rPr>
            </w:pPr>
          </w:p>
        </w:tc>
      </w:tr>
      <w:tr w:rsidR="003053A6"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36C87F15" w14:textId="77777777" w:rsidR="003053A6" w:rsidRPr="00E64ED5" w:rsidRDefault="003053A6" w:rsidP="000063EB">
            <w:pPr>
              <w:jc w:val="both"/>
              <w:rPr>
                <w:b/>
                <w:lang w:eastAsia="en-US"/>
              </w:rPr>
            </w:pPr>
          </w:p>
        </w:tc>
      </w:tr>
      <w:tr w:rsidR="003053A6"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270ECDF9" w14:textId="77777777" w:rsidR="003053A6" w:rsidRPr="00E64ED5" w:rsidRDefault="003053A6" w:rsidP="000063EB">
            <w:pPr>
              <w:jc w:val="both"/>
              <w:rPr>
                <w:b/>
                <w:sz w:val="22"/>
                <w:szCs w:val="22"/>
              </w:rPr>
            </w:pPr>
          </w:p>
        </w:tc>
      </w:tr>
      <w:tr w:rsidR="003053A6"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0AAC161E" w14:textId="77777777" w:rsidR="003053A6" w:rsidRPr="00E64ED5" w:rsidRDefault="003053A6" w:rsidP="000063EB">
            <w:pPr>
              <w:jc w:val="both"/>
              <w:rPr>
                <w:b/>
                <w:bCs/>
                <w:sz w:val="22"/>
                <w:szCs w:val="22"/>
              </w:rPr>
            </w:pP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Heading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6D3C0" w16cex:dateUtc="2021-09-23T02:21:00Z"/>
  <w16cex:commentExtensible w16cex:durableId="24F709D1" w16cex:dateUtc="2021-09-23T12:12:00Z"/>
  <w16cex:commentExtensible w16cex:durableId="24F70D10" w16cex:dateUtc="2021-09-23T12:26:00Z"/>
  <w16cex:commentExtensible w16cex:durableId="24F81E96" w16cex:dateUtc="2021-09-24T01:53:00Z"/>
  <w16cex:commentExtensible w16cex:durableId="24F6D4CA" w16cex:dateUtc="2021-09-23T02:26:00Z"/>
  <w16cex:commentExtensible w16cex:durableId="24F70F90" w16cex:dateUtc="2021-09-23T12:37:00Z"/>
  <w16cex:commentExtensible w16cex:durableId="24F5D9BE" w16cex:dateUtc="2021-09-22T14:35:00Z"/>
  <w16cex:commentExtensible w16cex:durableId="24F63C5E" w16cex:dateUtc="2021-09-22T21:35:00Z"/>
  <w16cex:commentExtensible w16cex:durableId="24F6496E" w16cex:dateUtc="2021-09-22T22:31:00Z"/>
  <w16cex:commentExtensible w16cex:durableId="24F5C4AE" w16cex:dateUtc="2021-09-22T07:05:00Z"/>
  <w16cex:commentExtensible w16cex:durableId="24F65205" w16cex:dateUtc="2021-09-22T23:08:00Z"/>
  <w16cex:commentExtensible w16cex:durableId="24F7191E" w16cex:dateUtc="2021-09-23T13:17:00Z"/>
  <w16cex:commentExtensible w16cex:durableId="24F65804" w16cex:dateUtc="2021-09-22T2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EA327" w14:textId="77777777" w:rsidR="00BB6263" w:rsidRDefault="00BB6263">
      <w:r>
        <w:separator/>
      </w:r>
    </w:p>
  </w:endnote>
  <w:endnote w:type="continuationSeparator" w:id="0">
    <w:p w14:paraId="121D7E28" w14:textId="77777777" w:rsidR="00BB6263" w:rsidRDefault="00BB6263">
      <w:r>
        <w:continuationSeparator/>
      </w:r>
    </w:p>
  </w:endnote>
  <w:endnote w:type="continuationNotice" w:id="1">
    <w:p w14:paraId="3BD8AF37" w14:textId="77777777" w:rsidR="00BB6263" w:rsidRDefault="00BB62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77777777" w:rsidR="00651CD5" w:rsidRDefault="00651CD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6D5DC" w14:textId="77777777" w:rsidR="00BB6263" w:rsidRDefault="00BB6263">
      <w:r>
        <w:separator/>
      </w:r>
    </w:p>
  </w:footnote>
  <w:footnote w:type="continuationSeparator" w:id="0">
    <w:p w14:paraId="5CAC0A09" w14:textId="77777777" w:rsidR="00BB6263" w:rsidRDefault="00BB6263">
      <w:r>
        <w:continuationSeparator/>
      </w:r>
    </w:p>
  </w:footnote>
  <w:footnote w:type="continuationNotice" w:id="1">
    <w:p w14:paraId="48EAD1B4" w14:textId="77777777" w:rsidR="00BB6263" w:rsidRDefault="00BB62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651CD5" w:rsidRDefault="00651CD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11E576D"/>
    <w:multiLevelType w:val="hybridMultilevel"/>
    <w:tmpl w:val="CA9695A2"/>
    <w:lvl w:ilvl="0" w:tplc="F5D6C81E">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6"/>
  </w:num>
  <w:num w:numId="3">
    <w:abstractNumId w:val="2"/>
  </w:num>
  <w:num w:numId="4">
    <w:abstractNumId w:val="19"/>
  </w:num>
  <w:num w:numId="5">
    <w:abstractNumId w:val="20"/>
  </w:num>
  <w:num w:numId="6">
    <w:abstractNumId w:val="22"/>
  </w:num>
  <w:num w:numId="7">
    <w:abstractNumId w:val="9"/>
  </w:num>
  <w:num w:numId="8">
    <w:abstractNumId w:val="10"/>
  </w:num>
  <w:num w:numId="9">
    <w:abstractNumId w:val="5"/>
  </w:num>
  <w:num w:numId="10">
    <w:abstractNumId w:val="28"/>
  </w:num>
  <w:num w:numId="11">
    <w:abstractNumId w:val="14"/>
  </w:num>
  <w:num w:numId="12">
    <w:abstractNumId w:val="25"/>
  </w:num>
  <w:num w:numId="13">
    <w:abstractNumId w:val="11"/>
  </w:num>
  <w:num w:numId="14">
    <w:abstractNumId w:val="26"/>
  </w:num>
  <w:num w:numId="15">
    <w:abstractNumId w:val="20"/>
  </w:num>
  <w:num w:numId="16">
    <w:abstractNumId w:val="21"/>
  </w:num>
  <w:num w:numId="17">
    <w:abstractNumId w:val="15"/>
  </w:num>
  <w:num w:numId="18">
    <w:abstractNumId w:val="3"/>
  </w:num>
  <w:num w:numId="19">
    <w:abstractNumId w:val="6"/>
  </w:num>
  <w:num w:numId="20">
    <w:abstractNumId w:val="1"/>
  </w:num>
  <w:num w:numId="21">
    <w:abstractNumId w:val="0"/>
  </w:num>
  <w:num w:numId="22">
    <w:abstractNumId w:val="13"/>
  </w:num>
  <w:num w:numId="23">
    <w:abstractNumId w:val="8"/>
  </w:num>
  <w:num w:numId="24">
    <w:abstractNumId w:val="26"/>
  </w:num>
  <w:num w:numId="25">
    <w:abstractNumId w:val="23"/>
  </w:num>
  <w:num w:numId="26">
    <w:abstractNumId w:val="7"/>
  </w:num>
  <w:num w:numId="27">
    <w:abstractNumId w:val="29"/>
  </w:num>
  <w:num w:numId="28">
    <w:abstractNumId w:val="17"/>
  </w:num>
  <w:num w:numId="29">
    <w:abstractNumId w:val="12"/>
  </w:num>
  <w:num w:numId="30">
    <w:abstractNumId w:val="17"/>
  </w:num>
  <w:num w:numId="31">
    <w:abstractNumId w:val="27"/>
  </w:num>
  <w:num w:numId="32">
    <w:abstractNumId w:val="24"/>
  </w:num>
  <w:num w:numId="3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D15"/>
    <w:rsid w:val="0002359E"/>
    <w:rsid w:val="0002564D"/>
    <w:rsid w:val="00025E04"/>
    <w:rsid w:val="00025ECA"/>
    <w:rsid w:val="00031A39"/>
    <w:rsid w:val="000325B8"/>
    <w:rsid w:val="00032B9C"/>
    <w:rsid w:val="000345F7"/>
    <w:rsid w:val="000346CC"/>
    <w:rsid w:val="00034C15"/>
    <w:rsid w:val="00036BA1"/>
    <w:rsid w:val="000372DB"/>
    <w:rsid w:val="00037A85"/>
    <w:rsid w:val="000422E2"/>
    <w:rsid w:val="00042F22"/>
    <w:rsid w:val="000444EF"/>
    <w:rsid w:val="000459AD"/>
    <w:rsid w:val="00046681"/>
    <w:rsid w:val="0005273B"/>
    <w:rsid w:val="00052A07"/>
    <w:rsid w:val="000534E3"/>
    <w:rsid w:val="000536FC"/>
    <w:rsid w:val="0005606A"/>
    <w:rsid w:val="00057117"/>
    <w:rsid w:val="00057D55"/>
    <w:rsid w:val="000616E7"/>
    <w:rsid w:val="0006487E"/>
    <w:rsid w:val="00065E1A"/>
    <w:rsid w:val="0007209A"/>
    <w:rsid w:val="00077E5F"/>
    <w:rsid w:val="0008036A"/>
    <w:rsid w:val="00080A73"/>
    <w:rsid w:val="00081AE6"/>
    <w:rsid w:val="00082333"/>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6173"/>
    <w:rsid w:val="001A6B13"/>
    <w:rsid w:val="001A6CBA"/>
    <w:rsid w:val="001B0D97"/>
    <w:rsid w:val="001B4881"/>
    <w:rsid w:val="001B4CD8"/>
    <w:rsid w:val="001B5A5D"/>
    <w:rsid w:val="001C1CE5"/>
    <w:rsid w:val="001C276A"/>
    <w:rsid w:val="001C3D2A"/>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6214"/>
    <w:rsid w:val="0026665C"/>
    <w:rsid w:val="00267C83"/>
    <w:rsid w:val="00271020"/>
    <w:rsid w:val="0027144F"/>
    <w:rsid w:val="00271813"/>
    <w:rsid w:val="00271F3A"/>
    <w:rsid w:val="00273278"/>
    <w:rsid w:val="002737F4"/>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B1695"/>
    <w:rsid w:val="002B24D6"/>
    <w:rsid w:val="002B4543"/>
    <w:rsid w:val="002C0092"/>
    <w:rsid w:val="002C41E6"/>
    <w:rsid w:val="002C5A8B"/>
    <w:rsid w:val="002D071A"/>
    <w:rsid w:val="002D2814"/>
    <w:rsid w:val="002D34B2"/>
    <w:rsid w:val="002D48B0"/>
    <w:rsid w:val="002D5B37"/>
    <w:rsid w:val="002D6E33"/>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203ED"/>
    <w:rsid w:val="00322C9F"/>
    <w:rsid w:val="0032333B"/>
    <w:rsid w:val="003240B8"/>
    <w:rsid w:val="00324D23"/>
    <w:rsid w:val="00325136"/>
    <w:rsid w:val="00326BA3"/>
    <w:rsid w:val="00331751"/>
    <w:rsid w:val="003320D1"/>
    <w:rsid w:val="00334579"/>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56DC"/>
    <w:rsid w:val="004E7514"/>
    <w:rsid w:val="004E76F4"/>
    <w:rsid w:val="004E7B8A"/>
    <w:rsid w:val="004F0B4E"/>
    <w:rsid w:val="004F0B6C"/>
    <w:rsid w:val="004F1A4D"/>
    <w:rsid w:val="004F2078"/>
    <w:rsid w:val="004F4DA3"/>
    <w:rsid w:val="004F67B7"/>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35A4"/>
    <w:rsid w:val="005948C2"/>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74FB"/>
    <w:rsid w:val="005D03CA"/>
    <w:rsid w:val="005D1602"/>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55EE"/>
    <w:rsid w:val="00667EE7"/>
    <w:rsid w:val="00670922"/>
    <w:rsid w:val="00670BE1"/>
    <w:rsid w:val="0067218F"/>
    <w:rsid w:val="00672F75"/>
    <w:rsid w:val="006741F2"/>
    <w:rsid w:val="00674B42"/>
    <w:rsid w:val="00674CC3"/>
    <w:rsid w:val="00675C72"/>
    <w:rsid w:val="006771F9"/>
    <w:rsid w:val="006776D7"/>
    <w:rsid w:val="00681003"/>
    <w:rsid w:val="006817C9"/>
    <w:rsid w:val="00683ECE"/>
    <w:rsid w:val="00686B4E"/>
    <w:rsid w:val="00695C00"/>
    <w:rsid w:val="00695FC2"/>
    <w:rsid w:val="00696949"/>
    <w:rsid w:val="00697052"/>
    <w:rsid w:val="006A2AF3"/>
    <w:rsid w:val="006A46FB"/>
    <w:rsid w:val="006A5E28"/>
    <w:rsid w:val="006A697B"/>
    <w:rsid w:val="006A761B"/>
    <w:rsid w:val="006A7749"/>
    <w:rsid w:val="006A7AFF"/>
    <w:rsid w:val="006B0180"/>
    <w:rsid w:val="006B1816"/>
    <w:rsid w:val="006B2099"/>
    <w:rsid w:val="006B22C6"/>
    <w:rsid w:val="006B50CF"/>
    <w:rsid w:val="006B5F4B"/>
    <w:rsid w:val="006B61B2"/>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37C8"/>
    <w:rsid w:val="006E4E39"/>
    <w:rsid w:val="006E4ED1"/>
    <w:rsid w:val="006E558C"/>
    <w:rsid w:val="006E565E"/>
    <w:rsid w:val="006E6064"/>
    <w:rsid w:val="006E673D"/>
    <w:rsid w:val="006E6ADB"/>
    <w:rsid w:val="006E7D3B"/>
    <w:rsid w:val="006F004E"/>
    <w:rsid w:val="006F03C6"/>
    <w:rsid w:val="006F167F"/>
    <w:rsid w:val="006F1B70"/>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7F29"/>
    <w:rsid w:val="007227F2"/>
    <w:rsid w:val="007228FB"/>
    <w:rsid w:val="0072555D"/>
    <w:rsid w:val="007257D0"/>
    <w:rsid w:val="00726EA6"/>
    <w:rsid w:val="00727208"/>
    <w:rsid w:val="007273A0"/>
    <w:rsid w:val="0072760F"/>
    <w:rsid w:val="00727680"/>
    <w:rsid w:val="00730DE1"/>
    <w:rsid w:val="00733E7C"/>
    <w:rsid w:val="007348B1"/>
    <w:rsid w:val="007362A6"/>
    <w:rsid w:val="00736D7D"/>
    <w:rsid w:val="0073768F"/>
    <w:rsid w:val="00740CB9"/>
    <w:rsid w:val="00740E58"/>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11FCB"/>
    <w:rsid w:val="0081458D"/>
    <w:rsid w:val="00814B63"/>
    <w:rsid w:val="008158D6"/>
    <w:rsid w:val="00817196"/>
    <w:rsid w:val="008235DB"/>
    <w:rsid w:val="00824AB4"/>
    <w:rsid w:val="00825C42"/>
    <w:rsid w:val="00825D25"/>
    <w:rsid w:val="0082638E"/>
    <w:rsid w:val="00827D6F"/>
    <w:rsid w:val="0083328D"/>
    <w:rsid w:val="008376AC"/>
    <w:rsid w:val="008444E8"/>
    <w:rsid w:val="00844688"/>
    <w:rsid w:val="00844E80"/>
    <w:rsid w:val="0084567E"/>
    <w:rsid w:val="00846FE7"/>
    <w:rsid w:val="0085683B"/>
    <w:rsid w:val="00856911"/>
    <w:rsid w:val="008677FD"/>
    <w:rsid w:val="008706D4"/>
    <w:rsid w:val="00870F8A"/>
    <w:rsid w:val="00871942"/>
    <w:rsid w:val="008719A4"/>
    <w:rsid w:val="00871D23"/>
    <w:rsid w:val="008724F2"/>
    <w:rsid w:val="0087283B"/>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C99"/>
    <w:rsid w:val="008C2017"/>
    <w:rsid w:val="008C312A"/>
    <w:rsid w:val="008C3AB7"/>
    <w:rsid w:val="008C4958"/>
    <w:rsid w:val="008C4BAA"/>
    <w:rsid w:val="008C6AE8"/>
    <w:rsid w:val="008C6ED9"/>
    <w:rsid w:val="008C7573"/>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5213"/>
    <w:rsid w:val="009B564E"/>
    <w:rsid w:val="009B7E87"/>
    <w:rsid w:val="009C0169"/>
    <w:rsid w:val="009C403E"/>
    <w:rsid w:val="009C4666"/>
    <w:rsid w:val="009C5018"/>
    <w:rsid w:val="009C65B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84"/>
    <w:rsid w:val="00B07F05"/>
    <w:rsid w:val="00B157F9"/>
    <w:rsid w:val="00B15C5F"/>
    <w:rsid w:val="00B20256"/>
    <w:rsid w:val="00B20D09"/>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48B7"/>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7377"/>
    <w:rsid w:val="00C10291"/>
    <w:rsid w:val="00C10478"/>
    <w:rsid w:val="00C12107"/>
    <w:rsid w:val="00C14D4B"/>
    <w:rsid w:val="00C154BB"/>
    <w:rsid w:val="00C20920"/>
    <w:rsid w:val="00C2092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62EB"/>
    <w:rsid w:val="00CE7561"/>
    <w:rsid w:val="00CF1354"/>
    <w:rsid w:val="00CF3B1F"/>
    <w:rsid w:val="00CF3BF6"/>
    <w:rsid w:val="00CF4E4C"/>
    <w:rsid w:val="00CF625B"/>
    <w:rsid w:val="00CF687E"/>
    <w:rsid w:val="00CF6F39"/>
    <w:rsid w:val="00D013B3"/>
    <w:rsid w:val="00D0349B"/>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E71"/>
    <w:rsid w:val="00D37072"/>
    <w:rsid w:val="00D37B2B"/>
    <w:rsid w:val="00D37D87"/>
    <w:rsid w:val="00D40B33"/>
    <w:rsid w:val="00D4318F"/>
    <w:rsid w:val="00D438BF"/>
    <w:rsid w:val="00D440F8"/>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982"/>
    <w:rsid w:val="00D949CF"/>
    <w:rsid w:val="00D96574"/>
    <w:rsid w:val="00D97359"/>
    <w:rsid w:val="00D974E1"/>
    <w:rsid w:val="00DA0849"/>
    <w:rsid w:val="00DA2059"/>
    <w:rsid w:val="00DA305E"/>
    <w:rsid w:val="00DA46BB"/>
    <w:rsid w:val="00DA5417"/>
    <w:rsid w:val="00DA55CB"/>
    <w:rsid w:val="00DA56E8"/>
    <w:rsid w:val="00DB0A9F"/>
    <w:rsid w:val="00DB377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47EE"/>
    <w:rsid w:val="00EA4D31"/>
    <w:rsid w:val="00EA6C8C"/>
    <w:rsid w:val="00EA7648"/>
    <w:rsid w:val="00EA7A41"/>
    <w:rsid w:val="00EB077B"/>
    <w:rsid w:val="00EB15FF"/>
    <w:rsid w:val="00EB4EA2"/>
    <w:rsid w:val="00EB545A"/>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838"/>
    <w:rsid w:val="00FA27E7"/>
    <w:rsid w:val="00FA2BB3"/>
    <w:rsid w:val="00FA5485"/>
    <w:rsid w:val="00FA68F5"/>
    <w:rsid w:val="00FB44FC"/>
    <w:rsid w:val="00FB4C80"/>
    <w:rsid w:val="00FB6A6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A8D42F3-FA4A-4F18-9089-E6612C93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7</TotalTime>
  <Pages>8</Pages>
  <Words>1713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Ritesh</cp:lastModifiedBy>
  <cp:revision>3</cp:revision>
  <cp:lastPrinted>2008-02-01T01:09:00Z</cp:lastPrinted>
  <dcterms:created xsi:type="dcterms:W3CDTF">2021-09-27T14:38:00Z</dcterms:created>
  <dcterms:modified xsi:type="dcterms:W3CDTF">2021-09-27T14:47:00Z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