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hint="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hint="eastAsia"/>
                <w:lang w:eastAsia="zh-CN"/>
              </w:rPr>
            </w:pPr>
            <w:r>
              <w:rPr>
                <w:rFonts w:eastAsiaTheme="minorEastAsia"/>
                <w:lang w:eastAsia="zh-CN"/>
              </w:rPr>
              <w:t>malgorzata.tomala@nokia.com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771131" w:rsidP="00882D39">
      <w:pPr>
        <w:pStyle w:val="Doc-title"/>
        <w:rPr>
          <w:color w:val="7030A0"/>
        </w:rPr>
      </w:pPr>
      <w:hyperlink r:id="rId11" w:history="1">
        <w:r w:rsidR="005C603E" w:rsidRPr="006734B6">
          <w:rPr>
            <w:rStyle w:val="Hyperlink"/>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lastRenderedPageBreak/>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lastRenderedPageBreak/>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ListParagraph"/>
              <w:numPr>
                <w:ilvl w:val="0"/>
                <w:numId w:val="17"/>
              </w:numPr>
              <w:jc w:val="both"/>
              <w:rPr>
                <w:noProof/>
              </w:rPr>
            </w:pPr>
            <w:r>
              <w:rPr>
                <w:noProof/>
                <w:lang w:val="en-US"/>
              </w:rPr>
              <w:t xml:space="preserve">We understand OAM only need to configure RAN on TA list, and RAN notifies AMF TAI list via </w:t>
            </w:r>
            <w:r w:rsidRPr="009F5A10">
              <w:t>NG SETUP REQUEST</w:t>
            </w:r>
            <w:r w:rsidR="00004BA1">
              <w:rPr>
                <w:lang w:val="en-US"/>
              </w:rPr>
              <w:t>/</w:t>
            </w:r>
            <w:r w:rsidR="000124F9">
              <w:t xml:space="preserve"> </w:t>
            </w:r>
            <w:r w:rsidR="000124F9" w:rsidRPr="000124F9">
              <w:rPr>
                <w:lang w:val="en-US"/>
              </w:rPr>
              <w:t>RAN CONFIGURATION UPDATE</w:t>
            </w:r>
            <w:r>
              <w:rPr>
                <w:lang w:val="en-US"/>
              </w:rPr>
              <w:t xml:space="preserve">. </w:t>
            </w:r>
            <w:r>
              <w:rPr>
                <w:noProof/>
                <w:lang w:val="en-US"/>
              </w:rPr>
              <w:t xml:space="preserve">  </w:t>
            </w:r>
          </w:p>
          <w:p w14:paraId="6FA8710C" w14:textId="6053FE5E" w:rsidR="008440D8" w:rsidRPr="00BE35E2" w:rsidRDefault="008440D8" w:rsidP="000B7D35">
            <w:pPr>
              <w:pStyle w:val="ListParagraph"/>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ListParagraph"/>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4.75pt" o:ole="">
                  <v:imagedata r:id="rId12" o:title=""/>
                </v:shape>
                <o:OLEObject Type="Embed" ProgID="PBrush" ShapeID="_x0000_i1025" DrawAspect="Content" ObjectID="_1694717640" r:id="rId13"/>
              </w:object>
            </w:r>
          </w:p>
          <w:p w14:paraId="05D30646" w14:textId="6AB53629" w:rsidR="00FA6384" w:rsidRDefault="00FA6384" w:rsidP="00FA6384">
            <w:pPr>
              <w:pStyle w:val="ListParagraph"/>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(slighly prefer OAM configures RAN and RAN notifies CN)</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r>
              <w:rPr>
                <w:noProof/>
                <w:lang w:val="en-GB"/>
              </w:rPr>
              <w:t>We also agree with the rapporteur’s assumption.</w:t>
            </w:r>
          </w:p>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hint="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Hyperlink"/>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ListParagraph"/>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ListParagraph"/>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ListParagraph"/>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ListParagraph"/>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ListParagraph"/>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ListParagraph"/>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hint="eastAsia"/>
                <w:noProof/>
                <w:lang w:eastAsia="zh-CN"/>
              </w:rPr>
            </w:pPr>
            <w:r>
              <w:rPr>
                <w:rFonts w:eastAsiaTheme="minorEastAsia"/>
                <w:noProof/>
                <w:lang w:eastAsia="zh-CN"/>
              </w:rPr>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 xml:space="preserve">Ad.2 If the point 2 is on NW configuration, it may be left to NW implementation whether the same group of slices is considered for cell reselection and further </w:t>
            </w:r>
            <w:r w:rsidRPr="00771131">
              <w:rPr>
                <w:noProof/>
                <w:lang w:val="en-GB"/>
              </w:rPr>
              <w:lastRenderedPageBreak/>
              <w:t>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5388A" w14:textId="77777777" w:rsidR="00CD65BA" w:rsidRDefault="00CD65BA">
      <w:r>
        <w:separator/>
      </w:r>
    </w:p>
  </w:endnote>
  <w:endnote w:type="continuationSeparator" w:id="0">
    <w:p w14:paraId="67CD07FD" w14:textId="77777777" w:rsidR="00CD65BA" w:rsidRDefault="00CD65BA">
      <w:r>
        <w:continuationSeparator/>
      </w:r>
    </w:p>
  </w:endnote>
  <w:endnote w:type="continuationNotice" w:id="1">
    <w:p w14:paraId="217066BF" w14:textId="77777777" w:rsidR="00CD65BA" w:rsidRDefault="00CD6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1D4EA" w14:textId="77777777" w:rsidR="00CD65BA" w:rsidRDefault="00CD65BA">
      <w:r>
        <w:separator/>
      </w:r>
    </w:p>
  </w:footnote>
  <w:footnote w:type="continuationSeparator" w:id="0">
    <w:p w14:paraId="119A60BD" w14:textId="77777777" w:rsidR="00CD65BA" w:rsidRDefault="00CD65BA">
      <w:r>
        <w:continuationSeparator/>
      </w:r>
    </w:p>
  </w:footnote>
  <w:footnote w:type="continuationNotice" w:id="1">
    <w:p w14:paraId="7C2BF049" w14:textId="77777777" w:rsidR="00CD65BA" w:rsidRDefault="00CD65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DefaultParagraphFont"/>
    <w:rsid w:val="002463D8"/>
  </w:style>
  <w:style w:type="character" w:customStyle="1" w:styleId="eop">
    <w:name w:val="eop"/>
    <w:basedOn w:val="DefaultParagraphFont"/>
    <w:rsid w:val="002463D8"/>
  </w:style>
  <w:style w:type="paragraph" w:customStyle="1" w:styleId="paragraph">
    <w:name w:val="paragraph"/>
    <w:basedOn w:val="Normal"/>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601C5EA-1A6D-4271-879E-BC5195FF4C61}">
  <ds:schemaRefs>
    <ds:schemaRef ds:uri="http://schemas.openxmlformats.org/officeDocument/2006/bibliography"/>
  </ds:schemaRefs>
</ds:datastoreItem>
</file>

<file path=customXml/itemProps4.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1651</Words>
  <Characters>9417</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2</cp:revision>
  <cp:lastPrinted>2008-02-01T05:09:00Z</cp:lastPrinted>
  <dcterms:created xsi:type="dcterms:W3CDTF">2021-10-02T20:08:00Z</dcterms:created>
  <dcterms:modified xsi:type="dcterms:W3CDTF">2021-10-02T20:08:00Z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