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4D92DDE6" w:rsidR="001C64D3" w:rsidRDefault="001C64D3" w:rsidP="001C64D3">
      <w:pPr>
        <w:pStyle w:val="Doc-text2"/>
      </w:pPr>
      <w:r>
        <w:t xml:space="preserve">    Scope: Aim to understand issues with NAS signaling (which is UE-specific) since slice information should be common to all UEs in the same cell. Discuss if there are issues and attempt to resolve them. Focus on RACH aspects.Can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C18F25D" w:rsidR="003F6051" w:rsidRDefault="003F6051" w:rsidP="008753E7">
            <w:pPr>
              <w:spacing w:line="276" w:lineRule="auto"/>
              <w:rPr>
                <w:rFonts w:eastAsia="MS Mincho"/>
              </w:rPr>
            </w:pPr>
          </w:p>
        </w:tc>
        <w:tc>
          <w:tcPr>
            <w:tcW w:w="7224" w:type="dxa"/>
            <w:shd w:val="clear" w:color="auto" w:fill="auto"/>
          </w:tcPr>
          <w:p w14:paraId="608E1A45" w14:textId="4469DB90" w:rsidR="003F6051" w:rsidRDefault="003F6051" w:rsidP="008753E7">
            <w:pPr>
              <w:spacing w:line="276" w:lineRule="auto"/>
              <w:rPr>
                <w:rFonts w:eastAsia="MS Mincho"/>
              </w:rPr>
            </w:pPr>
          </w:p>
        </w:tc>
      </w:tr>
      <w:tr w:rsidR="003F6051" w14:paraId="48556F0E" w14:textId="77777777" w:rsidTr="008753E7">
        <w:tc>
          <w:tcPr>
            <w:tcW w:w="2405" w:type="dxa"/>
            <w:shd w:val="clear" w:color="auto" w:fill="auto"/>
          </w:tcPr>
          <w:p w14:paraId="056EAE34" w14:textId="03D68B3E" w:rsidR="003F6051" w:rsidRDefault="003F6051" w:rsidP="008753E7">
            <w:pPr>
              <w:spacing w:line="276" w:lineRule="auto"/>
              <w:rPr>
                <w:rFonts w:eastAsia="MS Mincho"/>
              </w:rPr>
            </w:pPr>
          </w:p>
        </w:tc>
        <w:tc>
          <w:tcPr>
            <w:tcW w:w="7224" w:type="dxa"/>
            <w:shd w:val="clear" w:color="auto" w:fill="auto"/>
          </w:tcPr>
          <w:p w14:paraId="021DB27F" w14:textId="5416A576" w:rsidR="003F6051" w:rsidRDefault="003F6051" w:rsidP="008753E7">
            <w:pPr>
              <w:spacing w:line="276" w:lineRule="auto"/>
              <w:rPr>
                <w:rFonts w:eastAsia="MS Mincho"/>
              </w:rPr>
            </w:pP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Heading1"/>
      </w:pPr>
      <w:r>
        <w:t>2</w:t>
      </w:r>
      <w:r w:rsidR="003D4A16">
        <w:tab/>
      </w:r>
      <w:r w:rsidR="004A2491">
        <w:t>Discussion</w:t>
      </w:r>
    </w:p>
    <w:p w14:paraId="07DFFAA1" w14:textId="3D0280C5" w:rsidR="00AC49DA" w:rsidRDefault="00AC49DA" w:rsidP="00AC49DA">
      <w:pPr>
        <w:pStyle w:val="Heading2"/>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0C2010" w:rsidP="006734B6">
      <w:pPr>
        <w:pStyle w:val="Doc-title"/>
        <w:ind w:left="1826"/>
        <w:rPr>
          <w:color w:val="7030A0"/>
        </w:rPr>
      </w:pPr>
      <w:hyperlink r:id="rId11" w:history="1">
        <w:r w:rsidR="005C603E" w:rsidRPr="006734B6">
          <w:rPr>
            <w:rStyle w:val="Hyperlink"/>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6734B6">
      <w:pPr>
        <w:pStyle w:val="Doc-text2"/>
        <w:ind w:left="2189"/>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6734B6">
      <w:pPr>
        <w:pStyle w:val="Doc-text2"/>
        <w:ind w:left="2189"/>
        <w:rPr>
          <w:color w:val="7030A0"/>
        </w:rPr>
      </w:pPr>
      <w:r w:rsidRPr="006734B6">
        <w:rPr>
          <w:color w:val="7030A0"/>
        </w:rPr>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6734B6">
      <w:pPr>
        <w:pStyle w:val="Doc-text2"/>
        <w:ind w:left="2189"/>
        <w:rPr>
          <w:color w:val="7030A0"/>
        </w:rPr>
      </w:pPr>
      <w:r w:rsidRPr="006734B6">
        <w:rPr>
          <w:color w:val="7030A0"/>
        </w:rPr>
        <w:lastRenderedPageBreak/>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Heading2"/>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assumes the nw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he nw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w.r.t.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lastRenderedPageBreak/>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ListParagraph"/>
              <w:numPr>
                <w:ilvl w:val="0"/>
                <w:numId w:val="17"/>
              </w:numPr>
              <w:jc w:val="both"/>
              <w:rPr>
                <w:noProof/>
              </w:rPr>
            </w:pPr>
            <w:r>
              <w:rPr>
                <w:noProof/>
                <w:lang w:val="en-US"/>
              </w:rPr>
              <w:t xml:space="preserve">We understand OAM only need to configure RAN on TA list, and RAN notifies AMF TAI list via </w:t>
            </w:r>
            <w:r w:rsidRPr="009F5A10">
              <w:t>NG SETUP REQUEST</w:t>
            </w:r>
            <w:r w:rsidR="00004BA1">
              <w:rPr>
                <w:lang w:val="en-US"/>
              </w:rPr>
              <w:t>/</w:t>
            </w:r>
            <w:r w:rsidR="000124F9">
              <w:t xml:space="preserve"> </w:t>
            </w:r>
            <w:r w:rsidR="000124F9" w:rsidRPr="000124F9">
              <w:rPr>
                <w:lang w:val="en-US"/>
              </w:rPr>
              <w:t>RAN CONFIGURATION UPDATE</w:t>
            </w:r>
            <w:r>
              <w:rPr>
                <w:lang w:val="en-US"/>
              </w:rPr>
              <w:t xml:space="preserve">. </w:t>
            </w:r>
            <w:r>
              <w:rPr>
                <w:noProof/>
                <w:lang w:val="en-US"/>
              </w:rPr>
              <w:t xml:space="preserve">  </w:t>
            </w:r>
          </w:p>
          <w:p w14:paraId="6FA8710C" w14:textId="6053FE5E" w:rsidR="008440D8" w:rsidRPr="00BE35E2" w:rsidRDefault="008440D8" w:rsidP="000B7D35">
            <w:pPr>
              <w:pStyle w:val="ListParagraph"/>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ListParagraph"/>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5pt;height:174.7pt" o:ole="">
                  <v:imagedata r:id="rId12" o:title=""/>
                </v:shape>
                <o:OLEObject Type="Embed" ProgID="PBrush" ShapeID="_x0000_i1025" DrawAspect="Content" ObjectID="_1693980843" r:id="rId13"/>
              </w:object>
            </w:r>
          </w:p>
          <w:p w14:paraId="05D30646" w14:textId="6AB53629" w:rsidR="00FA6384" w:rsidRDefault="00FA6384" w:rsidP="00FA6384">
            <w:pPr>
              <w:pStyle w:val="ListParagraph"/>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(slighly prefer OAM configures RAN and RAN notifies CN)</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77777777" w:rsidR="00B91AD6" w:rsidRPr="008F3140" w:rsidRDefault="00B91AD6" w:rsidP="008753E7">
            <w:pPr>
              <w:spacing w:after="0"/>
              <w:jc w:val="both"/>
              <w:rPr>
                <w:rFonts w:eastAsiaTheme="minorEastAsia"/>
                <w:noProof/>
                <w:lang w:val="en-GB" w:eastAsia="zh-CN"/>
              </w:rPr>
            </w:pPr>
          </w:p>
        </w:tc>
        <w:tc>
          <w:tcPr>
            <w:tcW w:w="8020" w:type="dxa"/>
          </w:tcPr>
          <w:p w14:paraId="29BB9E1F" w14:textId="77777777" w:rsidR="00B91AD6" w:rsidRPr="008F3140" w:rsidRDefault="00B91AD6" w:rsidP="008753E7">
            <w:pPr>
              <w:spacing w:after="0"/>
              <w:jc w:val="both"/>
              <w:rPr>
                <w:noProof/>
                <w:lang w:val="en-GB"/>
              </w:rPr>
            </w:pPr>
          </w:p>
        </w:tc>
      </w:tr>
      <w:tr w:rsidR="00B91AD6" w:rsidRPr="008F3140" w14:paraId="5820A645" w14:textId="77777777" w:rsidTr="008753E7">
        <w:tc>
          <w:tcPr>
            <w:tcW w:w="1756" w:type="dxa"/>
          </w:tcPr>
          <w:p w14:paraId="30A2E5FE" w14:textId="77777777" w:rsidR="00B91AD6" w:rsidRPr="008F3140" w:rsidRDefault="00B91AD6" w:rsidP="008753E7">
            <w:pPr>
              <w:spacing w:after="0"/>
              <w:jc w:val="both"/>
              <w:rPr>
                <w:rFonts w:eastAsiaTheme="minorEastAsia"/>
                <w:noProof/>
                <w:lang w:val="en-GB" w:eastAsia="zh-CN"/>
              </w:rPr>
            </w:pPr>
          </w:p>
        </w:tc>
        <w:tc>
          <w:tcPr>
            <w:tcW w:w="8020" w:type="dxa"/>
          </w:tcPr>
          <w:p w14:paraId="745E138B" w14:textId="77777777" w:rsidR="00B91AD6" w:rsidRPr="008F3140" w:rsidRDefault="00B91AD6" w:rsidP="008753E7">
            <w:pPr>
              <w:spacing w:after="0"/>
              <w:jc w:val="both"/>
              <w:rPr>
                <w:noProof/>
                <w:lang w:val="en-GB"/>
              </w:rPr>
            </w:pPr>
          </w:p>
        </w:tc>
      </w:tr>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Heading2"/>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4" w:history="1">
        <w:r w:rsidR="00DF3CB7">
          <w:rPr>
            <w:rStyle w:val="Hyperlink"/>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 xml:space="preserve">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w:t>
      </w:r>
      <w:r w:rsidRPr="00D95F1E">
        <w:rPr>
          <w:rFonts w:eastAsia="Malgun Gothic" w:cs="Arial"/>
          <w:color w:val="7030A0"/>
          <w:lang w:eastAsia="ko-KR"/>
        </w:rPr>
        <w:lastRenderedPageBreak/>
        <w:t>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ListParagraph"/>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ListParagraph"/>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ListParagraph"/>
        <w:numPr>
          <w:ilvl w:val="0"/>
          <w:numId w:val="15"/>
        </w:numPr>
        <w:rPr>
          <w:lang w:eastAsia="en-GB"/>
        </w:rPr>
      </w:pPr>
      <w:r>
        <w:rPr>
          <w:lang w:val="sv-SE" w:eastAsia="en-GB"/>
        </w:rPr>
        <w:t>In a cell, there may be multiple slice-specific RACH configurations.</w:t>
      </w:r>
    </w:p>
    <w:p w14:paraId="4E55DD8B" w14:textId="68716C6F" w:rsidR="00322045" w:rsidRPr="00322045" w:rsidRDefault="00346BC7" w:rsidP="000B7D35">
      <w:pPr>
        <w:pStyle w:val="ListParagraph"/>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ListParagraph"/>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ListParagraph"/>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TableGrid"/>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77777777" w:rsidR="00D543C4" w:rsidRPr="008F3140" w:rsidRDefault="00D543C4" w:rsidP="00E06A6F">
            <w:pPr>
              <w:spacing w:after="0"/>
              <w:jc w:val="both"/>
              <w:rPr>
                <w:rFonts w:eastAsiaTheme="minorEastAsia"/>
                <w:noProof/>
                <w:lang w:val="en-GB" w:eastAsia="zh-CN"/>
              </w:rPr>
            </w:pPr>
          </w:p>
        </w:tc>
        <w:tc>
          <w:tcPr>
            <w:tcW w:w="8020" w:type="dxa"/>
          </w:tcPr>
          <w:p w14:paraId="494D487B" w14:textId="77777777" w:rsidR="00D543C4" w:rsidRPr="008F3140" w:rsidRDefault="00D543C4" w:rsidP="00E06A6F">
            <w:pPr>
              <w:spacing w:after="0"/>
              <w:jc w:val="both"/>
              <w:rPr>
                <w:noProof/>
                <w:lang w:val="en-GB"/>
              </w:rPr>
            </w:pPr>
          </w:p>
        </w:tc>
      </w:tr>
      <w:tr w:rsidR="00D543C4" w:rsidRPr="008F3140" w14:paraId="37BE9499" w14:textId="77777777" w:rsidTr="00E06A6F">
        <w:tc>
          <w:tcPr>
            <w:tcW w:w="1756" w:type="dxa"/>
          </w:tcPr>
          <w:p w14:paraId="6F3FC820" w14:textId="77777777" w:rsidR="00D543C4" w:rsidRPr="008F3140" w:rsidRDefault="00D543C4" w:rsidP="00E06A6F">
            <w:pPr>
              <w:spacing w:after="0"/>
              <w:jc w:val="both"/>
              <w:rPr>
                <w:rFonts w:eastAsiaTheme="minorEastAsia"/>
                <w:noProof/>
                <w:lang w:val="en-GB" w:eastAsia="zh-CN"/>
              </w:rPr>
            </w:pPr>
          </w:p>
        </w:tc>
        <w:tc>
          <w:tcPr>
            <w:tcW w:w="8020" w:type="dxa"/>
          </w:tcPr>
          <w:p w14:paraId="7CED540E" w14:textId="77777777" w:rsidR="00D543C4" w:rsidRPr="008F3140" w:rsidRDefault="00D543C4" w:rsidP="00E06A6F">
            <w:pPr>
              <w:spacing w:after="0"/>
              <w:jc w:val="both"/>
              <w:rPr>
                <w:noProof/>
                <w:lang w:val="en-GB"/>
              </w:rPr>
            </w:pP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364A" w14:textId="77777777" w:rsidR="000C2010" w:rsidRDefault="000C2010">
      <w:r>
        <w:separator/>
      </w:r>
    </w:p>
  </w:endnote>
  <w:endnote w:type="continuationSeparator" w:id="0">
    <w:p w14:paraId="3442F244" w14:textId="77777777" w:rsidR="000C2010" w:rsidRDefault="000C2010">
      <w:r>
        <w:continuationSeparator/>
      </w:r>
    </w:p>
  </w:endnote>
  <w:endnote w:type="continuationNotice" w:id="1">
    <w:p w14:paraId="6058F420" w14:textId="77777777" w:rsidR="000C2010" w:rsidRDefault="000C2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5BA1" w14:textId="77777777" w:rsidR="000C2010" w:rsidRDefault="000C2010">
      <w:r>
        <w:separator/>
      </w:r>
    </w:p>
  </w:footnote>
  <w:footnote w:type="continuationSeparator" w:id="0">
    <w:p w14:paraId="694EE845" w14:textId="77777777" w:rsidR="000C2010" w:rsidRDefault="000C2010">
      <w:r>
        <w:continuationSeparator/>
      </w:r>
    </w:p>
  </w:footnote>
  <w:footnote w:type="continuationNotice" w:id="1">
    <w:p w14:paraId="712DF1F1" w14:textId="77777777" w:rsidR="000C2010" w:rsidRDefault="000C20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11"/>
  </w:num>
  <w:num w:numId="6">
    <w:abstractNumId w:val="13"/>
  </w:num>
  <w:num w:numId="7">
    <w:abstractNumId w:val="2"/>
  </w:num>
  <w:num w:numId="8">
    <w:abstractNumId w:val="3"/>
  </w:num>
  <w:num w:numId="9">
    <w:abstractNumId w:val="1"/>
  </w:num>
  <w:num w:numId="10">
    <w:abstractNumId w:val="17"/>
  </w:num>
  <w:num w:numId="11">
    <w:abstractNumId w:val="5"/>
  </w:num>
  <w:num w:numId="12">
    <w:abstractNumId w:val="14"/>
  </w:num>
  <w:num w:numId="13">
    <w:abstractNumId w:val="15"/>
  </w:num>
  <w:num w:numId="14">
    <w:abstractNumId w:val="4"/>
  </w:num>
  <w:num w:numId="15">
    <w:abstractNumId w:val="7"/>
  </w:num>
  <w:num w:numId="16">
    <w:abstractNumId w:val="16"/>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B33"/>
    <w:rsid w:val="00865FB7"/>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5F5E"/>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8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805AC19C-2C43-44B1-96AC-B2E01EE74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1252</Words>
  <Characters>7143</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 Peng Cheng</cp:lastModifiedBy>
  <cp:revision>17</cp:revision>
  <cp:lastPrinted>2008-02-01T05:09:00Z</cp:lastPrinted>
  <dcterms:created xsi:type="dcterms:W3CDTF">2021-09-22T23:35:00Z</dcterms:created>
  <dcterms:modified xsi:type="dcterms:W3CDTF">2021-09-24T01:26:00Z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