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A2199C"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hyperlink r:id="rId9" w:history="1">
              <w:r>
                <w:rPr>
                  <w:rStyle w:val="afa"/>
                  <w:rFonts w:eastAsia="宋体" w:cs="Arial"/>
                  <w:lang w:val="de-DE" w:eastAsia="zh-CN"/>
                </w:rPr>
                <w:t>pkadiri@qti.qualcomm.com</w:t>
              </w:r>
            </w:hyperlink>
            <w:r>
              <w:rPr>
                <w:rFonts w:eastAsia="宋体" w:cs="Arial"/>
                <w:lang w:val="de-DE" w:eastAsia="zh-CN"/>
              </w:rPr>
              <w:t>)</w:t>
            </w:r>
          </w:p>
        </w:tc>
      </w:tr>
      <w:tr w:rsidR="004E2DE6" w:rsidRPr="00B65DEA"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A2199C"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A2199C"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A2199C"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A2199C"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A2199C"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A2199C"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B65DEA" w:rsidP="00334EF0">
            <w:pPr>
              <w:pStyle w:val="TAC"/>
              <w:rPr>
                <w:rFonts w:cs="Arial"/>
                <w:lang w:val="de-DE" w:eastAsia="zh-CN"/>
              </w:rPr>
            </w:pPr>
            <w:hyperlink r:id="rId10" w:history="1">
              <w:r w:rsidR="00334EF0" w:rsidRPr="00214B46">
                <w:rPr>
                  <w:rStyle w:val="afa"/>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hyperlink r:id="rId11" w:history="1">
              <w:r w:rsidR="00E40993" w:rsidRPr="00F05498">
                <w:rPr>
                  <w:rStyle w:val="afa"/>
                  <w:rFonts w:cs="Arial"/>
                  <w:lang w:val="de-DE" w:eastAsia="zh-CN"/>
                </w:rPr>
                <w:t>caozhenzhen@huawei.com</w:t>
              </w:r>
            </w:hyperlink>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hint="eastAsia"/>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rFonts w:hint="eastAsia"/>
                <w:lang w:val="de-DE" w:eastAsia="zh-CN"/>
              </w:rPr>
            </w:pPr>
            <w:r w:rsidRPr="00AD261F">
              <w:rPr>
                <w:rFonts w:eastAsia="Yu Mincho" w:cs="Arial"/>
                <w:lang w:val="de-DE"/>
              </w:rPr>
              <w:t>Xiaonan.Zhang@mediatek.com</w:t>
            </w:r>
          </w:p>
        </w:tc>
      </w:tr>
    </w:tbl>
    <w:p w14:paraId="110756AD" w14:textId="77777777" w:rsidR="004E2DE6" w:rsidRPr="00714D4B" w:rsidRDefault="004E2DE6">
      <w:pPr>
        <w:rPr>
          <w:lang w:eastAsia="zh-CN"/>
        </w:rPr>
      </w:pPr>
    </w:p>
    <w:p w14:paraId="6194F76C" w14:textId="77777777" w:rsidR="004E2DE6" w:rsidRDefault="00CE3D7C">
      <w:pPr>
        <w:pStyle w:val="21"/>
        <w:spacing w:before="120" w:after="120"/>
        <w:ind w:left="0" w:firstLine="0"/>
        <w:rPr>
          <w:rFonts w:cs="Arial"/>
          <w:lang w:eastAsia="zh-CN"/>
        </w:rPr>
      </w:pPr>
      <w:r>
        <w:rPr>
          <w:rFonts w:cs="Arial"/>
        </w:rPr>
        <w:lastRenderedPageBreak/>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 xml:space="preserve">In our understanding, this question had already been discussed in [Post113-e][054][MBS17].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hint="eastAsia"/>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hint="eastAsia"/>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bl>
    <w:p w14:paraId="385C2DC6" w14:textId="77777777" w:rsidR="004E2DE6" w:rsidRPr="00714D4B" w:rsidRDefault="004E2DE6">
      <w:pPr>
        <w:rPr>
          <w:rFonts w:eastAsia="Yu Mincho"/>
        </w:rPr>
      </w:pP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behavior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hint="eastAsia"/>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hint="eastAsia"/>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bl>
    <w:p w14:paraId="54EF0863" w14:textId="77777777" w:rsidR="004E2DE6" w:rsidRDefault="004E2DE6">
      <w:pPr>
        <w:tabs>
          <w:tab w:val="left" w:pos="3057"/>
        </w:tabs>
        <w:spacing w:after="120" w:line="240" w:lineRule="exact"/>
        <w:rPr>
          <w:rFonts w:ascii="Arial" w:hAnsi="Arial" w:cs="Arial"/>
        </w:rPr>
      </w:pP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Again, we can follow the legacy behavior.</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hint="eastAsia"/>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hint="eastAsia"/>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bl>
    <w:p w14:paraId="1A78FD2A" w14:textId="77777777" w:rsidR="004E2DE6" w:rsidRDefault="004E2DE6">
      <w:pPr>
        <w:rPr>
          <w:rFonts w:eastAsia="Yu Mincho"/>
        </w:rPr>
      </w:pP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hint="eastAsia"/>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hint="eastAsia"/>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hint="eastAsia"/>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bl>
    <w:p w14:paraId="583A04B0" w14:textId="77777777" w:rsidR="004E2DE6" w:rsidRPr="00714D4B" w:rsidRDefault="004E2DE6">
      <w:pPr>
        <w:tabs>
          <w:tab w:val="left" w:pos="3057"/>
        </w:tabs>
        <w:spacing w:after="120" w:line="240" w:lineRule="exact"/>
        <w:rPr>
          <w:rFonts w:ascii="Arial" w:eastAsia="Yu Mincho" w:hAnsi="Arial" w:cs="Arial"/>
        </w:rPr>
      </w:pP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77777777" w:rsidR="004E2DE6" w:rsidRDefault="00CE3D7C">
      <w:pPr>
        <w:pStyle w:val="B1"/>
        <w:ind w:leftChars="342" w:left="968"/>
        <w:rPr>
          <w:i/>
          <w:iCs/>
        </w:rPr>
      </w:pPr>
      <w:r>
        <w:rPr>
          <w:i/>
          <w:iCs/>
        </w:rPr>
        <w:t>-</w:t>
      </w:r>
      <w:r>
        <w:rPr>
          <w:i/>
          <w:iCs/>
        </w:rPr>
        <w:tab/>
        <w:t>upper layer requests a uplink data switching;</w:t>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daps-SourceRelease</w:t>
            </w:r>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t>upper layer requests a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RB, that we think is unnecessary, and extension to UM as well is needed.</w:t>
            </w:r>
            <w:r w:rsidRPr="001659EF">
              <w:t>.</w:t>
            </w:r>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宋体"/>
                <w:lang w:val="en-US" w:eastAsia="zh-CN"/>
              </w:rPr>
              <w:t>For MRB bearer change, we think the handling of PDCP SR is similar to the existing data recovery mechanism. Thus, t</w:t>
            </w:r>
            <w:r w:rsidRPr="0030042B">
              <w:rPr>
                <w:rFonts w:eastAsia="宋体"/>
                <w:lang w:val="en-US" w:eastAsia="zh-CN"/>
              </w:rPr>
              <w:t xml:space="preserve">here is no need to introduce </w:t>
            </w:r>
            <w:r>
              <w:rPr>
                <w:rFonts w:eastAsia="宋体"/>
                <w:lang w:val="en-US" w:eastAsia="zh-CN"/>
              </w:rPr>
              <w:t xml:space="preserve">a </w:t>
            </w:r>
            <w:r w:rsidRPr="0030042B">
              <w:rPr>
                <w:rFonts w:eastAsia="宋体"/>
                <w:lang w:val="en-US" w:eastAsia="zh-CN"/>
              </w:rPr>
              <w:t>new trigger in PDCP spec</w:t>
            </w:r>
            <w:r>
              <w:rPr>
                <w:rFonts w:eastAsia="宋体"/>
                <w:lang w:val="en-US" w:eastAsia="zh-CN"/>
              </w:rPr>
              <w:t xml:space="preserve"> and we think the l</w:t>
            </w:r>
            <w:r>
              <w:rPr>
                <w:rFonts w:eastAsia="宋体" w:hint="eastAsia"/>
                <w:lang w:val="en-US" w:eastAsia="zh-CN"/>
              </w:rPr>
              <w:t>egacy RRC PDCP SR trigger</w:t>
            </w:r>
            <w:r>
              <w:rPr>
                <w:rFonts w:eastAsia="宋体"/>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宋体" w:hint="eastAsia"/>
                <w:lang w:val="en-US" w:eastAsia="zh-CN"/>
              </w:rPr>
              <w:t>L</w:t>
            </w:r>
            <w:r>
              <w:rPr>
                <w:rFonts w:eastAsia="宋体"/>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宋体" w:hint="eastAsia"/>
                <w:lang w:val="en-US" w:eastAsia="zh-CN"/>
              </w:rPr>
              <w:t>O</w:t>
            </w:r>
            <w:r>
              <w:rPr>
                <w:rFonts w:eastAsia="宋体"/>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宋体"/>
                <w:lang w:val="en-US" w:eastAsia="zh-CN"/>
              </w:rPr>
            </w:pPr>
            <w:r>
              <w:rPr>
                <w:rFonts w:eastAsia="宋体" w:hint="eastAsia"/>
                <w:lang w:val="en-US" w:eastAsia="zh-CN"/>
              </w:rPr>
              <w:t>I</w:t>
            </w:r>
            <w:r>
              <w:rPr>
                <w:rFonts w:eastAsia="宋体"/>
                <w:lang w:val="en-US" w:eastAsia="zh-CN"/>
              </w:rPr>
              <w:t>t will be more clean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宋体" w:hint="eastAsia"/>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宋体" w:hint="eastAsia"/>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宋体" w:hint="eastAsia"/>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bl>
    <w:p w14:paraId="0AC620FC" w14:textId="77777777" w:rsidR="004E2DE6" w:rsidRPr="00714D4B" w:rsidRDefault="004E2DE6">
      <w:pPr>
        <w:tabs>
          <w:tab w:val="left" w:pos="3057"/>
        </w:tabs>
        <w:spacing w:after="120" w:line="240" w:lineRule="exact"/>
        <w:rPr>
          <w:rFonts w:ascii="Arial" w:eastAsia="Yu Mincho" w:hAnsi="Arial" w:cs="Arial"/>
        </w:rPr>
      </w:pP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hint="eastAsia"/>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hint="eastAsia"/>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bl>
    <w:p w14:paraId="28237E85" w14:textId="77777777" w:rsidR="004E2DE6" w:rsidRPr="00714D4B" w:rsidRDefault="004E2DE6">
      <w:pPr>
        <w:tabs>
          <w:tab w:val="left" w:pos="3057"/>
        </w:tabs>
        <w:spacing w:after="120" w:line="240" w:lineRule="exact"/>
        <w:rPr>
          <w:rFonts w:ascii="Arial" w:hAnsi="Arial" w:cs="Arial"/>
        </w:rPr>
      </w:pPr>
    </w:p>
    <w:p w14:paraId="74B983E3" w14:textId="77777777" w:rsidR="004E2DE6" w:rsidRDefault="00CE3D7C">
      <w:pPr>
        <w:tabs>
          <w:tab w:val="left" w:pos="3057"/>
        </w:tabs>
        <w:spacing w:after="120" w:line="240" w:lineRule="exact"/>
        <w:rPr>
          <w:rFonts w:ascii="Arial" w:hAnsi="Arial" w:cs="Arial"/>
        </w:rPr>
      </w:pPr>
      <w:r>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35pt;height:157.75pt" o:ole="">
            <v:imagedata r:id="rId12" o:title=""/>
          </v:shape>
          <o:OLEObject Type="Embed" ProgID="Visio.Drawing.15" ShapeID="_x0000_i1025" DrawAspect="Content" ObjectID="_1695725927" r:id="rId13"/>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hint="eastAsia"/>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hint="eastAsia"/>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bl>
    <w:p w14:paraId="5CEBF1D1" w14:textId="77777777" w:rsidR="004E2DE6" w:rsidRPr="00714D4B" w:rsidRDefault="004E2DE6">
      <w:pPr>
        <w:tabs>
          <w:tab w:val="left" w:pos="3057"/>
        </w:tabs>
        <w:spacing w:after="120"/>
        <w:rPr>
          <w:rFonts w:ascii="Arial" w:eastAsia="Yu Mincho" w:hAnsi="Arial" w:cs="Arial"/>
        </w:rPr>
      </w:pP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rFonts w:hint="eastAsia"/>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rFonts w:hint="eastAsia"/>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bl>
    <w:p w14:paraId="165969BB" w14:textId="77777777" w:rsidR="004E2DE6" w:rsidRPr="00714D4B" w:rsidRDefault="004E2DE6">
      <w:pPr>
        <w:pStyle w:val="B1"/>
        <w:ind w:left="0" w:firstLine="0"/>
        <w:rPr>
          <w:rFonts w:ascii="Arial" w:hAnsi="Arial" w:cs="Arial"/>
        </w:rPr>
      </w:pP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rFonts w:hint="eastAsia"/>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rFonts w:hint="eastAsia"/>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bl>
    <w:p w14:paraId="75102491" w14:textId="77777777" w:rsidR="004E2DE6" w:rsidRDefault="004E2DE6">
      <w:pPr>
        <w:tabs>
          <w:tab w:val="left" w:pos="3057"/>
        </w:tabs>
        <w:spacing w:after="120" w:line="240" w:lineRule="exact"/>
        <w:rPr>
          <w:rFonts w:ascii="Arial" w:hAnsi="Arial" w:cs="Arial"/>
          <w:b/>
          <w:bCs/>
          <w:u w:val="single"/>
          <w:lang w:eastAsia="zh-CN"/>
        </w:rPr>
      </w:pPr>
    </w:p>
    <w:p w14:paraId="0757BFAC" w14:textId="77777777"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d"/>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Since out-of-order reception may occur in NR MBS due to HARQ retx,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hint="eastAsia"/>
                <w:lang w:val="en-US" w:eastAsia="zh-CN"/>
              </w:rPr>
            </w:pPr>
            <w:r>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hint="eastAsia"/>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hint="eastAsia"/>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bl>
    <w:p w14:paraId="2771BFAA" w14:textId="77777777" w:rsidR="004E2DE6" w:rsidRPr="00714D4B" w:rsidRDefault="004E2DE6">
      <w:pPr>
        <w:tabs>
          <w:tab w:val="left" w:pos="3057"/>
        </w:tabs>
        <w:spacing w:after="120" w:line="240" w:lineRule="exact"/>
        <w:rPr>
          <w:rFonts w:ascii="Arial" w:hAnsi="Arial" w:cs="Arial"/>
        </w:rPr>
      </w:pP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rFonts w:hint="eastAsia"/>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rFonts w:hint="eastAsia"/>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bl>
    <w:p w14:paraId="72D1E4DF" w14:textId="77777777" w:rsidR="004E2DE6" w:rsidRDefault="004E2DE6">
      <w:pPr>
        <w:spacing w:after="120" w:line="240" w:lineRule="exact"/>
        <w:rPr>
          <w:rFonts w:ascii="Arial" w:eastAsia="Yu Mincho" w:hAnsi="Arial" w:cs="Arial"/>
          <w:b/>
        </w:rPr>
      </w:pP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Initialize the PTM RLC entity for an MRB configuration, the value of RX_Next_Highest and RX_Next_Reassembly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RX_Next_Highest and RX_Next_Reassembly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rFonts w:hint="eastAsia"/>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rFonts w:hint="eastAsia"/>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rFonts w:hint="eastAsia"/>
                <w:lang w:eastAsia="zh-CN"/>
              </w:rPr>
            </w:pPr>
          </w:p>
        </w:tc>
      </w:tr>
    </w:tbl>
    <w:p w14:paraId="5B7F9984" w14:textId="77777777" w:rsidR="004E2DE6" w:rsidRDefault="004E2DE6">
      <w:pPr>
        <w:tabs>
          <w:tab w:val="left" w:pos="3057"/>
        </w:tabs>
        <w:spacing w:after="120" w:line="240" w:lineRule="exact"/>
        <w:rPr>
          <w:rFonts w:ascii="Arial" w:hAnsi="Arial" w:cs="Arial"/>
          <w:lang w:eastAsia="zh-CN"/>
        </w:rPr>
      </w:pPr>
    </w:p>
    <w:p w14:paraId="493144E1" w14:textId="77777777" w:rsidR="004E2DE6" w:rsidRDefault="00CE3D7C">
      <w:pPr>
        <w:tabs>
          <w:tab w:val="left" w:pos="3057"/>
        </w:tabs>
        <w:spacing w:after="120" w:line="240" w:lineRule="exact"/>
        <w:rPr>
          <w:rFonts w:ascii="Arial" w:hAnsi="Arial" w:cs="Arial"/>
        </w:rPr>
      </w:pPr>
      <w:r>
        <w:rPr>
          <w:rFonts w:ascii="Arial" w:hAnsi="Arial" w:cs="Arial"/>
        </w:rPr>
        <w:t>As summarized in [5], 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14:paraId="538BF7E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To avoid the data loss, the initial value of RX_Next_Reassembly should be set before RX_Next_Highest. It is possible to leave the exact value of RX_Next_Reassembly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hint="eastAsia"/>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hint="eastAsia"/>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hint="eastAsia"/>
                <w:lang w:val="en-US" w:eastAsia="zh-CN"/>
              </w:rPr>
            </w:pPr>
            <w:r>
              <w:rPr>
                <w:rFonts w:ascii="Arial" w:hAnsi="Arial" w:cs="Arial"/>
              </w:rPr>
              <w:t xml:space="preserve">We think at least data loss issue should be left to PDCP (and refer to Q10). </w:t>
            </w:r>
          </w:p>
        </w:tc>
      </w:tr>
    </w:tbl>
    <w:p w14:paraId="437FE788" w14:textId="77777777" w:rsidR="004E2DE6" w:rsidRPr="00714D4B" w:rsidRDefault="004E2DE6">
      <w:pPr>
        <w:spacing w:after="120" w:line="240" w:lineRule="exact"/>
        <w:rPr>
          <w:rFonts w:ascii="Arial" w:eastAsia="Yu Mincho" w:hAnsi="Arial" w:cs="Arial"/>
          <w:b/>
        </w:rPr>
      </w:pP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r>
              <w:rPr>
                <w:rFonts w:ascii="Arial" w:eastAsia="Malgun Gothic" w:hAnsi="Arial" w:cs="Arial" w:hint="eastAsia"/>
                <w:lang w:eastAsia="ko-KR"/>
              </w:rPr>
              <w:t>are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hint="eastAsia"/>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hint="eastAsia"/>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hint="eastAsia"/>
                <w:lang w:val="en-US" w:eastAsia="zh-CN"/>
              </w:rPr>
            </w:pPr>
            <w:r>
              <w:rPr>
                <w:rFonts w:ascii="Arial" w:hAnsi="Arial" w:cs="Arial"/>
              </w:rPr>
              <w:t xml:space="preserve">RLC entity configuration should be indicated by RRC. Other details can be refer to Q17 </w:t>
            </w:r>
          </w:p>
        </w:tc>
      </w:tr>
    </w:tbl>
    <w:p w14:paraId="09DD7DBE" w14:textId="77777777" w:rsidR="004E2DE6" w:rsidRDefault="004E2DE6">
      <w:pPr>
        <w:tabs>
          <w:tab w:val="left" w:pos="3057"/>
        </w:tabs>
        <w:spacing w:after="120" w:line="240" w:lineRule="exact"/>
        <w:rPr>
          <w:rFonts w:ascii="Arial" w:hAnsi="Arial" w:cs="Arial"/>
          <w:lang w:eastAsia="zh-CN"/>
        </w:rPr>
      </w:pP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would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Not sure how this is simplified. I.e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rFonts w:hint="eastAsia"/>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rFonts w:hint="eastAsia"/>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bl>
    <w:p w14:paraId="1F297BE3" w14:textId="77777777" w:rsidR="004E2DE6" w:rsidRDefault="004E2DE6">
      <w:pPr>
        <w:tabs>
          <w:tab w:val="left" w:pos="3057"/>
        </w:tabs>
        <w:spacing w:after="120" w:line="240" w:lineRule="exact"/>
        <w:ind w:left="103"/>
        <w:rPr>
          <w:rFonts w:ascii="Arial" w:hAnsi="Arial" w:cs="Arial"/>
          <w:lang w:eastAsia="zh-CN"/>
        </w:rPr>
      </w:pP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rFonts w:hint="eastAsia"/>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rFonts w:hint="eastAsia"/>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rFonts w:hint="eastAsia"/>
                <w:lang w:val="en-US" w:eastAsia="zh-CN"/>
              </w:rPr>
            </w:pPr>
          </w:p>
        </w:tc>
      </w:tr>
    </w:tbl>
    <w:p w14:paraId="75CA68CA" w14:textId="77777777" w:rsidR="004E2DE6" w:rsidRPr="00714D4B" w:rsidRDefault="004E2DE6">
      <w:pPr>
        <w:tabs>
          <w:tab w:val="left" w:pos="3057"/>
        </w:tabs>
        <w:spacing w:after="120" w:line="240" w:lineRule="exact"/>
        <w:ind w:left="103"/>
        <w:rPr>
          <w:rFonts w:ascii="Arial" w:hAnsi="Arial" w:cs="Arial"/>
          <w:lang w:eastAsia="zh-CN"/>
        </w:rPr>
      </w:pP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5"/>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d"/>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5"/>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ins w:id="13" w:author="Lenovo" w:date="2021-10-14T08:49:00Z"/>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ins w:id="14" w:author="Lenovo" w:date="2021-10-14T08:49:00Z"/>
          <w:rFonts w:ascii="Arial" w:hAnsi="Arial" w:cs="Arial"/>
          <w:lang w:eastAsia="zh-CN"/>
        </w:rPr>
      </w:pPr>
      <w:ins w:id="15" w:author="Lenovo" w:date="2021-10-14T08:49:00Z">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ins>
    </w:p>
    <w:p w14:paraId="44192DAC" w14:textId="77777777" w:rsidR="00B80136" w:rsidRPr="00332354" w:rsidRDefault="00B80136" w:rsidP="00B80136">
      <w:pPr>
        <w:tabs>
          <w:tab w:val="left" w:pos="3057"/>
        </w:tabs>
        <w:spacing w:after="120" w:line="240" w:lineRule="exact"/>
        <w:rPr>
          <w:ins w:id="16" w:author="Lenovo" w:date="2021-10-14T08:49:00Z"/>
          <w:rFonts w:ascii="Arial" w:hAnsi="Arial" w:cs="Arial"/>
        </w:rPr>
      </w:pPr>
      <w:ins w:id="17" w:author="Lenovo" w:date="2021-10-14T08:49:00Z">
        <w:r w:rsidRPr="00332354">
          <w:rPr>
            <w:rFonts w:ascii="Arial" w:hAnsi="Arial" w:cs="Arial"/>
          </w:rPr>
          <w:t xml:space="preserve">Common LCID space: LCIDs of PTP MRB/unicast DRB and PTM MRB are in the same LCID pool, in which a same LCID value cannot be used twice for both PTM MRB and PTP MRB/Unicast DRB. </w:t>
        </w:r>
      </w:ins>
    </w:p>
    <w:p w14:paraId="6F2BB193" w14:textId="7CF312A9" w:rsidR="00B80136" w:rsidRPr="00B80136" w:rsidRDefault="00B80136">
      <w:pPr>
        <w:tabs>
          <w:tab w:val="left" w:pos="3057"/>
        </w:tabs>
        <w:spacing w:after="120" w:line="240" w:lineRule="exact"/>
        <w:rPr>
          <w:rFonts w:ascii="Arial" w:eastAsia="Yu Mincho" w:hAnsi="Arial" w:cs="Arial"/>
        </w:rPr>
      </w:pPr>
      <w:ins w:id="18" w:author="Lenovo" w:date="2021-10-14T08:49:00Z">
        <w:r w:rsidRPr="00332354">
          <w:rPr>
            <w:rFonts w:ascii="Arial" w:hAnsi="Arial" w:cs="Arial"/>
          </w:rPr>
          <w:t>Separate LCID space: LCIDs of PTP MRB/DRB and PTM MRB are in different LCID pool, in which a same LCID value can be used for twice for both PTM MRB and PTP MRB/Unicast DRB.</w:t>
        </w:r>
      </w:ins>
    </w:p>
    <w:p w14:paraId="0BDC5AC4" w14:textId="77777777" w:rsidR="004E2DE6" w:rsidRDefault="00CE3D7C">
      <w:pPr>
        <w:spacing w:after="120" w:line="240" w:lineRule="exact"/>
        <w:rPr>
          <w:rFonts w:ascii="Arial" w:hAnsi="Arial" w:cs="Arial"/>
          <w:b/>
        </w:rPr>
      </w:pPr>
      <w:bookmarkStart w:id="19"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d"/>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d"/>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9"/>
              <w:numPr>
                <w:ilvl w:val="0"/>
                <w:numId w:val="22"/>
              </w:numPr>
              <w:ind w:left="459"/>
            </w:pPr>
            <w:r>
              <w:t>C-RNTI transmission indicating new data</w:t>
            </w:r>
          </w:p>
          <w:p w14:paraId="5F1941F1" w14:textId="77777777" w:rsidR="004E2DE6" w:rsidRDefault="00CE3D7C">
            <w:pPr>
              <w:pStyle w:val="a9"/>
              <w:numPr>
                <w:ilvl w:val="0"/>
                <w:numId w:val="22"/>
              </w:numPr>
              <w:ind w:left="459"/>
            </w:pPr>
            <w:r>
              <w:t>Successful reception by the UE and HARQ ACK</w:t>
            </w:r>
          </w:p>
          <w:p w14:paraId="67039776" w14:textId="77777777" w:rsidR="004E2DE6" w:rsidRDefault="00CE3D7C">
            <w:pPr>
              <w:pStyle w:val="a9"/>
              <w:numPr>
                <w:ilvl w:val="0"/>
                <w:numId w:val="22"/>
              </w:numPr>
              <w:ind w:left="459"/>
            </w:pPr>
            <w:r>
              <w:t xml:space="preserve">G-RNTI transmission </w:t>
            </w:r>
          </w:p>
          <w:p w14:paraId="0FD66CB3" w14:textId="77777777" w:rsidR="004E2DE6" w:rsidRDefault="00CE3D7C">
            <w:pPr>
              <w:pStyle w:val="a9"/>
              <w:numPr>
                <w:ilvl w:val="0"/>
                <w:numId w:val="22"/>
              </w:numPr>
              <w:ind w:left="459"/>
            </w:pPr>
            <w:r>
              <w:t>UE fails to decode DCI and reports NACK</w:t>
            </w:r>
          </w:p>
          <w:p w14:paraId="3014D8E8" w14:textId="77777777" w:rsidR="004E2DE6" w:rsidRDefault="00CE3D7C">
            <w:pPr>
              <w:pStyle w:val="a9"/>
              <w:numPr>
                <w:ilvl w:val="0"/>
                <w:numId w:val="22"/>
              </w:numPr>
              <w:ind w:left="459"/>
            </w:pPr>
            <w:r>
              <w:t>Network retransmits using C-RNTI</w:t>
            </w:r>
          </w:p>
          <w:p w14:paraId="2AD219DE" w14:textId="77777777" w:rsidR="004E2DE6" w:rsidRDefault="00CE3D7C">
            <w:pPr>
              <w:pStyle w:val="a9"/>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a9"/>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等线"/>
              </w:rPr>
              <w:t xml:space="preserve">As rapporteur noted that RAN1 is still discussing how </w:t>
            </w:r>
            <w:r w:rsidRPr="00605120">
              <w:rPr>
                <w:rFonts w:eastAsia="等线"/>
              </w:rPr>
              <w:t>UE can distinguish PTP re-transmissions of MRB from DTCH/DRB</w:t>
            </w:r>
            <w:r>
              <w:rPr>
                <w:rFonts w:eastAsia="等线"/>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等线"/>
              </w:rPr>
              <w:t xml:space="preserve">which </w:t>
            </w:r>
            <w:r>
              <w:rPr>
                <w:rFonts w:eastAsia="等线"/>
              </w:rPr>
              <w:t>schedul</w:t>
            </w:r>
            <w:r w:rsidR="004A36F9">
              <w:rPr>
                <w:rFonts w:eastAsia="等线"/>
              </w:rPr>
              <w:t>es</w:t>
            </w:r>
            <w:r>
              <w:rPr>
                <w:rFonts w:eastAsia="等线"/>
              </w:rPr>
              <w:t xml:space="preserve"> initial transmission, as pointed out by Nokia.</w:t>
            </w:r>
            <w:r w:rsidR="00E33D3E">
              <w:rPr>
                <w:rFonts w:eastAsia="等线"/>
              </w:rPr>
              <w:t xml:space="preserve"> So we prefer to wait for RAN1 progress</w:t>
            </w:r>
            <w:r w:rsidR="005A0B19">
              <w:rPr>
                <w:rFonts w:eastAsia="等线"/>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等线"/>
              </w:rPr>
            </w:pPr>
            <w:r>
              <w:t>If “separate LCID space” means LCIDs of PTM and PTP transmissions don’t overlap.</w:t>
            </w:r>
          </w:p>
        </w:tc>
      </w:tr>
      <w:bookmarkEnd w:id="19"/>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等线"/>
                <w:lang w:eastAsia="zh-CN"/>
              </w:rPr>
              <w:t xml:space="preserve">DTCHs for DRBs, or </w:t>
            </w:r>
            <w:r w:rsidRPr="000F07DE">
              <w:t xml:space="preserve">DTCHs for multicast PTP transmission, or MTCHs for multicast PTM transmission. And then the network should guarantee that the LCIDs allocated for </w:t>
            </w:r>
            <w:r w:rsidRPr="000F07DE">
              <w:rPr>
                <w:rFonts w:eastAsia="等线"/>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Agree with Huawei and Nokia that companies have different understanding on the definition. As rapp,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宋体" w:hint="eastAsia"/>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rFonts w:hint="eastAsia"/>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bl>
    <w:p w14:paraId="18E4F5B1" w14:textId="77777777" w:rsidR="004E2DE6" w:rsidRPr="00714D4B" w:rsidRDefault="004E2DE6">
      <w:pPr>
        <w:tabs>
          <w:tab w:val="left" w:pos="3057"/>
        </w:tabs>
        <w:spacing w:after="120" w:line="240" w:lineRule="exact"/>
        <w:rPr>
          <w:rFonts w:ascii="Arial" w:hAnsi="Arial" w:cs="Arial"/>
        </w:rPr>
      </w:pP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rFonts w:hint="eastAsia"/>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rFonts w:hint="eastAsia"/>
                <w:lang w:eastAsia="zh-CN"/>
              </w:rPr>
            </w:pPr>
            <w:r>
              <w:t>32 as legacy unicast</w:t>
            </w:r>
          </w:p>
        </w:tc>
      </w:tr>
    </w:tbl>
    <w:p w14:paraId="61074EEA" w14:textId="77777777" w:rsidR="004E2DE6" w:rsidRDefault="004E2DE6">
      <w:pPr>
        <w:tabs>
          <w:tab w:val="left" w:pos="3057"/>
        </w:tabs>
        <w:spacing w:after="120" w:line="240" w:lineRule="exact"/>
        <w:rPr>
          <w:rFonts w:ascii="Arial" w:eastAsia="Yu Mincho" w:hAnsi="Arial" w:cs="Arial"/>
        </w:rPr>
      </w:pPr>
    </w:p>
    <w:p w14:paraId="706B498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14:paraId="5FB9A7B8" w14:textId="77777777"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Agree with the rapporteur. If common LCID space is used, eLCID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eLCID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eLCIDs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If an agreement is needed, we can say: eLCID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t seems the eLCID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eLCID may be applied to MAC CEs for MRB PTM at least. </w:t>
            </w:r>
          </w:p>
        </w:tc>
      </w:tr>
    </w:tbl>
    <w:p w14:paraId="4393DFB2" w14:textId="77777777" w:rsidR="004E2DE6" w:rsidRPr="00714D4B" w:rsidRDefault="004E2DE6">
      <w:pPr>
        <w:tabs>
          <w:tab w:val="left" w:pos="3057"/>
        </w:tabs>
        <w:spacing w:after="120" w:line="240" w:lineRule="exact"/>
        <w:rPr>
          <w:rFonts w:ascii="Arial" w:eastAsia="Yu Mincho" w:hAnsi="Arial" w:cs="Arial"/>
        </w:rPr>
      </w:pP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rFonts w:hint="eastAsia"/>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rFonts w:hint="eastAsia"/>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bl>
    <w:p w14:paraId="2F595AD5" w14:textId="77777777" w:rsidR="004E2DE6" w:rsidRPr="00714D4B" w:rsidRDefault="004E2DE6">
      <w:pPr>
        <w:spacing w:before="120" w:after="120"/>
        <w:rPr>
          <w:rFonts w:ascii="Arial" w:hAnsi="Arial" w:cs="Arial"/>
          <w:lang w:eastAsia="zh-CN"/>
        </w:rPr>
      </w:pP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drx-onDurationTimerPTM</w:t>
      </w:r>
    </w:p>
    <w:p w14:paraId="1E21C652" w14:textId="77777777" w:rsidR="004E2DE6" w:rsidRDefault="00CE3D7C">
      <w:pPr>
        <w:pStyle w:val="Agreement"/>
        <w:numPr>
          <w:ilvl w:val="0"/>
          <w:numId w:val="0"/>
        </w:numPr>
        <w:spacing w:line="240" w:lineRule="exact"/>
        <w:ind w:leftChars="371" w:left="742"/>
      </w:pPr>
      <w:r>
        <w:t>- drx-InactivityTimerPTM</w:t>
      </w:r>
    </w:p>
    <w:p w14:paraId="10C1FFB9" w14:textId="77777777" w:rsidR="004E2DE6" w:rsidRDefault="00CE3D7C">
      <w:pPr>
        <w:pStyle w:val="Agreement"/>
        <w:numPr>
          <w:ilvl w:val="0"/>
          <w:numId w:val="0"/>
        </w:numPr>
        <w:spacing w:line="240" w:lineRule="exact"/>
        <w:ind w:leftChars="371" w:left="742"/>
      </w:pPr>
      <w:r>
        <w:t>- drx-LongCycleStartOffsetPTM</w:t>
      </w:r>
    </w:p>
    <w:p w14:paraId="7D7C1E11" w14:textId="77777777" w:rsidR="004E2DE6" w:rsidRDefault="00CE3D7C">
      <w:pPr>
        <w:pStyle w:val="Agreement"/>
        <w:numPr>
          <w:ilvl w:val="0"/>
          <w:numId w:val="0"/>
        </w:numPr>
        <w:spacing w:line="240" w:lineRule="exact"/>
        <w:ind w:leftChars="371" w:left="742"/>
      </w:pPr>
      <w:r>
        <w:t>- drx-SlotOffsetPTM</w:t>
      </w:r>
    </w:p>
    <w:p w14:paraId="1D9A656B" w14:textId="77777777" w:rsidR="004E2DE6" w:rsidRDefault="00CE3D7C">
      <w:pPr>
        <w:pStyle w:val="Agreement"/>
        <w:numPr>
          <w:ilvl w:val="0"/>
          <w:numId w:val="0"/>
        </w:numPr>
        <w:spacing w:line="240" w:lineRule="exact"/>
        <w:ind w:leftChars="371" w:left="742"/>
      </w:pPr>
      <w:r>
        <w:t xml:space="preserve">- drx-HARQ-RTT-TimerDLPTM </w:t>
      </w:r>
    </w:p>
    <w:p w14:paraId="47317B6F" w14:textId="77777777" w:rsidR="004E2DE6" w:rsidRDefault="00CE3D7C">
      <w:pPr>
        <w:pStyle w:val="Agreement"/>
        <w:numPr>
          <w:ilvl w:val="0"/>
          <w:numId w:val="0"/>
        </w:numPr>
        <w:spacing w:line="240" w:lineRule="exact"/>
        <w:ind w:leftChars="371" w:left="742"/>
      </w:pPr>
      <w:r>
        <w:t>- drx-RetransmissionTimerDLPTM</w:t>
      </w:r>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5"/>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14:paraId="605A2BE4" w14:textId="77777777" w:rsidR="004E2DE6" w:rsidRDefault="00CE3D7C">
      <w:pPr>
        <w:pStyle w:val="B1"/>
        <w:jc w:val="left"/>
        <w:rPr>
          <w:ins w:id="20" w:author="Samsung_Sangkyu baek" w:date="2021-10-05T10:07:00Z"/>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ins w:id="21"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ins w:id="22" w:author="Lenovo" w:date="2021-10-14T09:01:00Z">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ins>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two independent active times do not overlapped.</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等线"/>
              </w:rPr>
            </w:pPr>
            <w:r w:rsidRPr="6F59AEF1">
              <w:rPr>
                <w:rFonts w:eastAsia="等线"/>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等线"/>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等线"/>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等线"/>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r w:rsidRPr="00787C95">
              <w:rPr>
                <w:i/>
                <w:iCs/>
              </w:rPr>
              <w:t xml:space="preserve">drx-RetransmissionTimerDLPTM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drx-HARQ-RTT-TimerDLPTM and drx-RetransmissionTimerDLPTM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rFonts w:hint="eastAsia"/>
                <w:lang w:eastAsia="zh-CN"/>
              </w:rPr>
            </w:pPr>
            <w:r>
              <w:rPr>
                <w:rFonts w:hint="eastAsia"/>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rFonts w:hint="eastAsia"/>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bl>
    <w:p w14:paraId="7BA13F7F" w14:textId="77777777" w:rsidR="004E2DE6" w:rsidRPr="00714D4B" w:rsidRDefault="004E2DE6">
      <w:pPr>
        <w:spacing w:before="120" w:after="120"/>
        <w:rPr>
          <w:rFonts w:ascii="Arial" w:hAnsi="Arial" w:cs="Arial"/>
          <w:lang w:eastAsia="zh-CN"/>
        </w:rPr>
      </w:pPr>
    </w:p>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We can not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等线"/>
                <w:lang w:eastAsia="zh-CN"/>
              </w:rPr>
              <w:t xml:space="preserve">we think the </w:t>
            </w:r>
            <w:r w:rsidRPr="0000503A">
              <w:rPr>
                <w:rFonts w:eastAsia="等线" w:hint="eastAsia"/>
                <w:lang w:eastAsia="zh-CN"/>
              </w:rPr>
              <w:t>short</w:t>
            </w:r>
            <w:r w:rsidRPr="0000503A">
              <w:rPr>
                <w:rFonts w:eastAsia="等线"/>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等线"/>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rFonts w:hint="eastAsia"/>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rFonts w:hint="eastAsia"/>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rFonts w:hint="eastAsia"/>
                <w:lang w:val="en-US" w:eastAsia="zh-CN"/>
              </w:rPr>
            </w:pPr>
            <w:r>
              <w:t>Shared the same view with Qualcomm.</w:t>
            </w:r>
          </w:p>
        </w:tc>
      </w:tr>
    </w:tbl>
    <w:p w14:paraId="75B15266" w14:textId="77777777" w:rsidR="004E2DE6" w:rsidRDefault="004E2DE6">
      <w:pPr>
        <w:rPr>
          <w:lang w:eastAsia="en-GB"/>
        </w:rPr>
      </w:pP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UEs stopsPDCCH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bl>
    <w:p w14:paraId="24D07F3D" w14:textId="77777777" w:rsidR="004E2DE6" w:rsidRDefault="004E2DE6">
      <w:pPr>
        <w:rPr>
          <w:lang w:eastAsia="en-GB"/>
        </w:rPr>
      </w:pP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ReTx)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UE receives GC-PDCCH (PTM ReTx)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宋体" w:hint="eastAsia"/>
                <w:lang w:val="en-US" w:eastAsia="zh-CN"/>
              </w:rPr>
              <w:t>O</w:t>
            </w:r>
            <w:r>
              <w:rPr>
                <w:rFonts w:eastAsia="宋体"/>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宋体"/>
                <w:lang w:val="en-US" w:eastAsia="zh-CN"/>
              </w:rPr>
            </w:pPr>
            <w:r>
              <w:rPr>
                <w:rFonts w:eastAsia="宋体" w:hint="eastAsia"/>
                <w:lang w:val="en-US" w:eastAsia="zh-CN"/>
              </w:rPr>
              <w:t>O</w:t>
            </w:r>
            <w:r>
              <w:rPr>
                <w:rFonts w:eastAsia="宋体"/>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宋体" w:hint="eastAsia"/>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宋体" w:hint="eastAsia"/>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bl>
    <w:p w14:paraId="4229E216" w14:textId="77777777" w:rsidR="004E2DE6" w:rsidRPr="00714D4B" w:rsidRDefault="004E2DE6">
      <w:pPr>
        <w:spacing w:after="120" w:line="240" w:lineRule="exact"/>
        <w:rPr>
          <w:rFonts w:ascii="Arial" w:hAnsi="Arial" w:cs="Arial"/>
          <w:b/>
          <w:bCs/>
          <w:lang w:eastAsia="zh-CN"/>
        </w:rPr>
      </w:pPr>
      <w:bookmarkStart w:id="23" w:name="_GoBack"/>
      <w:bookmarkEnd w:id="23"/>
    </w:p>
    <w:p w14:paraId="5BD34141" w14:textId="77777777" w:rsidR="004E2DE6" w:rsidRDefault="00CE3D7C">
      <w:pPr>
        <w:tabs>
          <w:tab w:val="left" w:pos="3057"/>
        </w:tabs>
        <w:spacing w:after="120" w:line="240" w:lineRule="exact"/>
        <w:rPr>
          <w:rFonts w:ascii="Arial" w:hAnsi="Arial" w:cs="Arial"/>
          <w:b/>
          <w:bCs/>
          <w:u w:val="single"/>
          <w:lang w:eastAsia="zh-CN"/>
        </w:rPr>
      </w:pPr>
      <w:bookmarkStart w:id="24"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24"/>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Alternatively, we can have common solution for Q24 and Q25. i..e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宋体"/>
                <w:lang w:val="en-US" w:eastAsia="zh-CN"/>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宋体" w:hint="eastAsia"/>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宋体" w:hint="eastAsia"/>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bl>
    <w:p w14:paraId="6928A4BF" w14:textId="77777777" w:rsidR="004E2DE6" w:rsidRDefault="004E2DE6">
      <w:pPr>
        <w:spacing w:after="120" w:line="240" w:lineRule="exact"/>
        <w:rPr>
          <w:rFonts w:ascii="Arial" w:hAnsi="Arial" w:cs="Arial"/>
          <w:b/>
          <w:bCs/>
          <w:lang w:eastAsia="zh-CN"/>
        </w:rPr>
      </w:pP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r w:rsidRPr="00A42ABB">
              <w:rPr>
                <w:lang w:eastAsia="zh-CN"/>
              </w:rPr>
              <w:t>sn-FieldLength (for RLC) and pdcp-SN-SizeDL</w:t>
            </w:r>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rFonts w:hint="eastAsia"/>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rFonts w:hint="eastAsia"/>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rFonts w:hint="eastAsia"/>
                <w:lang w:eastAsia="zh-CN"/>
              </w:rPr>
            </w:pPr>
            <w:r>
              <w:t>Agree with Ericsson.</w:t>
            </w:r>
          </w:p>
        </w:tc>
      </w:tr>
    </w:tbl>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Both timer can be pre-defined to 0 ms.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ms.</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rFonts w:hint="eastAsia"/>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rFonts w:hint="eastAsia"/>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rFonts w:hint="eastAsia"/>
                <w:lang w:val="en-US" w:eastAsia="zh-CN"/>
              </w:rPr>
            </w:pPr>
            <w:r>
              <w:t xml:space="preserve">HARQ is not supported for broadcast at least in R17. Maybe </w:t>
            </w:r>
            <w:r>
              <w:rPr>
                <w:lang w:eastAsia="zh-CN"/>
              </w:rPr>
              <w:t>we can consider it in R18.</w:t>
            </w:r>
          </w:p>
        </w:tc>
      </w:tr>
    </w:tbl>
    <w:p w14:paraId="7349B9CD" w14:textId="77777777" w:rsidR="004E2DE6" w:rsidRPr="00714D4B" w:rsidRDefault="004E2DE6">
      <w:pPr>
        <w:spacing w:after="120" w:line="240" w:lineRule="exact"/>
        <w:rPr>
          <w:rFonts w:ascii="Arial" w:eastAsia="Yu Mincho" w:hAnsi="Arial" w:cs="Arial"/>
          <w:b/>
        </w:rPr>
      </w:pP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use for </w:t>
            </w:r>
            <w:r w:rsidR="000870E8">
              <w:t>broadcast</w:t>
            </w:r>
            <w:r>
              <w:t xml:space="preserve"> MRB, and gNB can configure </w:t>
            </w:r>
            <w:r>
              <w:rPr>
                <w:i/>
                <w:iCs/>
              </w:rPr>
              <w:t xml:space="preserve">maxCID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rFonts w:hint="eastAsia"/>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rFonts w:hint="eastAsia"/>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rFonts w:hint="eastAsia"/>
                <w:lang w:eastAsia="zh-CN"/>
              </w:rPr>
            </w:pPr>
            <w:r>
              <w:rPr>
                <w:rFonts w:eastAsia="Yu Mincho" w:hint="eastAsia"/>
              </w:rPr>
              <w:t>A</w:t>
            </w:r>
            <w:r>
              <w:rPr>
                <w:rFonts w:eastAsia="Yu Mincho"/>
              </w:rPr>
              <w:t>gree with Ericsson.</w:t>
            </w:r>
          </w:p>
        </w:tc>
      </w:tr>
    </w:tbl>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059DF10" w14:textId="77777777"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6EA766F" w14:textId="77777777" w:rsidR="004E2DE6" w:rsidRDefault="004E2DE6">
            <w:pPr>
              <w:spacing w:after="120" w:line="240" w:lineRule="exact"/>
            </w:pP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7777777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497CAA2A" w14:textId="77777777" w:rsidR="004E2DE6" w:rsidRDefault="00CE3D7C">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4E98D869" w14:textId="77777777" w:rsidR="004E2DE6" w:rsidRDefault="00CE3D7C">
      <w:pPr>
        <w:spacing w:after="120" w:line="240" w:lineRule="exact"/>
        <w:rPr>
          <w:rFonts w:ascii="Arial" w:hAnsi="Arial" w:cs="Arial"/>
          <w:lang w:eastAsia="zh-CN"/>
        </w:rPr>
      </w:pPr>
      <w:r>
        <w:rPr>
          <w:rFonts w:ascii="Arial" w:hAnsi="Arial" w:cs="Arial" w:hint="eastAsia"/>
          <w:lang w:eastAsia="zh-CN"/>
        </w:rPr>
        <w:t>FFS.</w:t>
      </w:r>
    </w:p>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[MBS]  8.1.2.3 L2 Centric Other</w:t>
      </w:r>
      <w:r>
        <w:tab/>
        <w:t>MediaTek Inc.</w:t>
      </w:r>
    </w:p>
    <w:p w14:paraId="3C294E12" w14:textId="77777777"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B65DEA">
      <w:pPr>
        <w:pStyle w:val="a6"/>
        <w:numPr>
          <w:ilvl w:val="0"/>
          <w:numId w:val="23"/>
        </w:numPr>
      </w:pPr>
      <w:hyperlink r:id="rId14" w:tooltip="D:Documents3GPPtsg_ranWG2TSGR2_115-eDocsR2-2108846.zip" w:history="1">
        <w:r w:rsidR="00CE3D7C">
          <w:rPr>
            <w:rStyle w:val="afa"/>
          </w:rPr>
          <w:t>R2-2108846</w:t>
        </w:r>
      </w:hyperlink>
      <w:r w:rsidR="00CE3D7C">
        <w:tab/>
        <w:t>[Pre115-e][001][MBS] Summary 8.1.2.2 L2 Centric Scheduling and PowSav (Qualcomm)</w:t>
      </w:r>
      <w:r w:rsidR="00CE3D7C">
        <w:tab/>
        <w:t>Qualcomm</w:t>
      </w:r>
    </w:p>
    <w:p w14:paraId="2D1D02EF" w14:textId="77777777" w:rsidR="004E2DE6" w:rsidRDefault="00B65DEA">
      <w:pPr>
        <w:pStyle w:val="a6"/>
        <w:numPr>
          <w:ilvl w:val="0"/>
          <w:numId w:val="23"/>
        </w:numPr>
      </w:pPr>
      <w:hyperlink r:id="rId15" w:tooltip="D:Documents3GPPtsg_ranWG2TSGR2_115-eDocsR2-2108083.zip" w:history="1">
        <w:r w:rsidR="00CE3D7C">
          <w:rPr>
            <w:rStyle w:val="afa"/>
          </w:rPr>
          <w:t>R2-2108083</w:t>
        </w:r>
      </w:hyperlink>
      <w:r w:rsidR="00CE3D7C">
        <w:tab/>
        <w:t>Aspects on Scheduling</w:t>
      </w:r>
      <w:r w:rsidR="00CE3D7C">
        <w:tab/>
        <w:t>Ericsson</w:t>
      </w:r>
    </w:p>
    <w:p w14:paraId="4D0666D6" w14:textId="77777777" w:rsidR="004E2DE6" w:rsidRDefault="00B65DEA">
      <w:pPr>
        <w:pStyle w:val="a6"/>
        <w:numPr>
          <w:ilvl w:val="0"/>
          <w:numId w:val="23"/>
        </w:numPr>
      </w:pPr>
      <w:hyperlink r:id="rId16" w:tooltip="D:Documents3GPPtsg_ranWG2TSGR2_115-eDocsR2-2108125.zip" w:history="1">
        <w:r w:rsidR="00CE3D7C">
          <w:rPr>
            <w:rStyle w:val="afa"/>
          </w:rPr>
          <w:t>R2-2108125</w:t>
        </w:r>
      </w:hyperlink>
      <w:r w:rsidR="00CE3D7C">
        <w:tab/>
        <w:t>Discussion on group scheduling</w:t>
      </w:r>
      <w:r w:rsidR="00CE3D7C">
        <w:tab/>
        <w:t>Huawei, HiSilicon</w:t>
      </w:r>
    </w:p>
    <w:p w14:paraId="09A3FBAF" w14:textId="77777777"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DD6A6" w14:textId="77777777" w:rsidR="00B65DEA" w:rsidRDefault="00B65DEA" w:rsidP="00461678">
      <w:pPr>
        <w:spacing w:after="0" w:line="240" w:lineRule="auto"/>
      </w:pPr>
      <w:r>
        <w:separator/>
      </w:r>
    </w:p>
  </w:endnote>
  <w:endnote w:type="continuationSeparator" w:id="0">
    <w:p w14:paraId="52438331" w14:textId="77777777" w:rsidR="00B65DEA" w:rsidRDefault="00B65DEA"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A00A3" w14:textId="77777777" w:rsidR="00B65DEA" w:rsidRDefault="00B65DEA" w:rsidP="00461678">
      <w:pPr>
        <w:spacing w:after="0" w:line="240" w:lineRule="auto"/>
      </w:pPr>
      <w:r>
        <w:separator/>
      </w:r>
    </w:p>
  </w:footnote>
  <w:footnote w:type="continuationSeparator" w:id="0">
    <w:p w14:paraId="59445973" w14:textId="77777777" w:rsidR="00B65DEA" w:rsidRDefault="00B65DEA" w:rsidP="00461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1"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8"/>
  </w:num>
  <w:num w:numId="3">
    <w:abstractNumId w:val="2"/>
  </w:num>
  <w:num w:numId="4">
    <w:abstractNumId w:val="7"/>
  </w:num>
  <w:num w:numId="5">
    <w:abstractNumId w:val="6"/>
  </w:num>
  <w:num w:numId="6">
    <w:abstractNumId w:val="16"/>
  </w:num>
  <w:num w:numId="7">
    <w:abstractNumId w:val="0"/>
  </w:num>
  <w:num w:numId="8">
    <w:abstractNumId w:val="23"/>
  </w:num>
  <w:num w:numId="9">
    <w:abstractNumId w:val="12"/>
  </w:num>
  <w:num w:numId="10">
    <w:abstractNumId w:val="11"/>
  </w:num>
  <w:num w:numId="11">
    <w:abstractNumId w:val="13"/>
  </w:num>
  <w:num w:numId="12">
    <w:abstractNumId w:val="14"/>
  </w:num>
  <w:num w:numId="13">
    <w:abstractNumId w:val="5"/>
  </w:num>
  <w:num w:numId="14">
    <w:abstractNumId w:val="9"/>
  </w:num>
  <w:num w:numId="15">
    <w:abstractNumId w:val="20"/>
  </w:num>
  <w:num w:numId="16">
    <w:abstractNumId w:val="15"/>
  </w:num>
  <w:num w:numId="17">
    <w:abstractNumId w:val="22"/>
  </w:num>
  <w:num w:numId="18">
    <w:abstractNumId w:val="10"/>
  </w:num>
  <w:num w:numId="19">
    <w:abstractNumId w:val="18"/>
  </w:num>
  <w:num w:numId="20">
    <w:abstractNumId w:val="3"/>
  </w:num>
  <w:num w:numId="21">
    <w:abstractNumId w:val="4"/>
  </w:num>
  <w:num w:numId="22">
    <w:abstractNumId w:val="21"/>
  </w:num>
  <w:num w:numId="23">
    <w:abstractNumId w:val="1"/>
  </w:num>
  <w:num w:numId="24">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F4C"/>
    <w:rsid w:val="0054253C"/>
    <w:rsid w:val="00542C84"/>
    <w:rsid w:val="00543054"/>
    <w:rsid w:val="005434A3"/>
    <w:rsid w:val="005435E8"/>
    <w:rsid w:val="00543B9A"/>
    <w:rsid w:val="00543D07"/>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5DD"/>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1228"/>
    <w:rsid w:val="00751E46"/>
    <w:rsid w:val="00752763"/>
    <w:rsid w:val="00752A25"/>
    <w:rsid w:val="00752B27"/>
    <w:rsid w:val="00752D77"/>
    <w:rsid w:val="00753200"/>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86F"/>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77F"/>
    <w:rsid w:val="008F4AF3"/>
    <w:rsid w:val="008F4D4F"/>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068"/>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3F3"/>
    <w:rsid w:val="00B808C5"/>
    <w:rsid w:val="00B80A71"/>
    <w:rsid w:val="00B80F08"/>
    <w:rsid w:val="00B81088"/>
    <w:rsid w:val="00B8135E"/>
    <w:rsid w:val="00B81A6C"/>
    <w:rsid w:val="00B81E7F"/>
    <w:rsid w:val="00B836A1"/>
    <w:rsid w:val="00B83976"/>
    <w:rsid w:val="00B83A26"/>
    <w:rsid w:val="00B8411C"/>
    <w:rsid w:val="00B8498E"/>
    <w:rsid w:val="00B84E3A"/>
    <w:rsid w:val="00B8539C"/>
    <w:rsid w:val="00B859F4"/>
    <w:rsid w:val="00B85DE5"/>
    <w:rsid w:val="00B868BA"/>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721D"/>
    <w:rsid w:val="00D0749B"/>
    <w:rsid w:val="00D07984"/>
    <w:rsid w:val="00D07FDC"/>
    <w:rsid w:val="00D100FA"/>
    <w:rsid w:val="00D10249"/>
    <w:rsid w:val="00D10E9D"/>
    <w:rsid w:val="00D115C3"/>
    <w:rsid w:val="00D11897"/>
    <w:rsid w:val="00D11B86"/>
    <w:rsid w:val="00D11F13"/>
    <w:rsid w:val="00D13135"/>
    <w:rsid w:val="00D137AB"/>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2F6"/>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UnresolvedMention">
    <w:name w:val="Unresolved Mention"/>
    <w:basedOn w:val="a2"/>
    <w:uiPriority w:val="99"/>
    <w:semiHidden/>
    <w:unhideWhenUsed/>
    <w:rsid w:val="00E40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5-e\Docs\R2-210812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ozhenzhen@huawei.com" TargetMode="External"/><Relationship Id="rId5" Type="http://schemas.openxmlformats.org/officeDocument/2006/relationships/settings" Target="settings.xml"/><Relationship Id="rId15" Type="http://schemas.openxmlformats.org/officeDocument/2006/relationships/hyperlink" Target="file:///D:\Documents\3GPP\tsg_ran\WG2\TSGR2_115-e\Docs\R2-2108083.zip" TargetMode="External"/><Relationship Id="rId10" Type="http://schemas.openxmlformats.org/officeDocument/2006/relationships/hyperlink" Target="mailto:ohta.yoshiaki@fujitsu.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hyperlink" Target="file:///D:\Documents\3GPP\tsg_ran\WG2\TSGR2_115-e\Docs\R2-21088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EE509-E2C2-42A7-B45C-1A8DB7D3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15793</Words>
  <Characters>79245</Characters>
  <Application>Microsoft Office Word</Application>
  <DocSecurity>0</DocSecurity>
  <Lines>660</Lines>
  <Paragraphs>189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Xiaonan Zhang (张晓楠)</cp:lastModifiedBy>
  <cp:revision>3</cp:revision>
  <dcterms:created xsi:type="dcterms:W3CDTF">2021-10-14T05:57:00Z</dcterms:created>
  <dcterms:modified xsi:type="dcterms:W3CDTF">2021-10-14T06:12:00Z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