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w:t>
      </w:r>
      <w:proofErr w:type="spellStart"/>
      <w:r w:rsidR="00DE2E70" w:rsidRPr="00DE2E70">
        <w:rPr>
          <w:rFonts w:cs="Arial"/>
          <w:b/>
          <w:bCs/>
          <w:snapToGrid w:val="0"/>
          <w:sz w:val="28"/>
          <w:szCs w:val="28"/>
        </w:rPr>
        <w:t>SData</w:t>
      </w:r>
      <w:proofErr w:type="spellEnd"/>
      <w:r w:rsidR="00DE2E70" w:rsidRPr="00DE2E70">
        <w:rPr>
          <w:rFonts w:cs="Arial"/>
          <w:b/>
          <w:bCs/>
          <w:snapToGrid w:val="0"/>
          <w:sz w:val="28"/>
          <w:szCs w:val="28"/>
        </w:rPr>
        <w:t>]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Heading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w:t>
      </w:r>
      <w:proofErr w:type="spellStart"/>
      <w:r w:rsidRPr="00D36204">
        <w:rPr>
          <w:lang w:val="en-US"/>
        </w:rPr>
        <w:t>SData</w:t>
      </w:r>
      <w:proofErr w:type="spellEnd"/>
      <w:r w:rsidRPr="00D36204">
        <w:rPr>
          <w:lang w:val="en-US"/>
        </w:rPr>
        <w:t>]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proofErr w:type="spellStart"/>
      <w:r w:rsidRPr="00D36204">
        <w:t>i</w:t>
      </w:r>
      <w:proofErr w:type="spellEnd"/>
      <w:r w:rsidRPr="00D36204">
        <w:t>.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Heading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ListParagraph"/>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ListParagraph"/>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Caption"/>
        <w:jc w:val="center"/>
      </w:pPr>
      <w:r>
        <w:t xml:space="preserve">Figure </w:t>
      </w:r>
      <w:r w:rsidR="00C849BD">
        <w:fldChar w:fldCharType="begin"/>
      </w:r>
      <w:r w:rsidR="00C849BD">
        <w:instrText xml:space="preserve"> SEQ Figure \* ARABIC </w:instrText>
      </w:r>
      <w:r w:rsidR="00C849BD">
        <w:fldChar w:fldCharType="separate"/>
      </w:r>
      <w:r>
        <w:rPr>
          <w:noProof/>
        </w:rPr>
        <w:t>1</w:t>
      </w:r>
      <w:r w:rsidR="00C849BD">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TableGrid"/>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ListParagraph"/>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w:t>
            </w:r>
            <w:proofErr w:type="spellStart"/>
            <w:r>
              <w:rPr>
                <w:rFonts w:hint="eastAsia"/>
                <w:lang w:eastAsia="zh-CN"/>
              </w:rPr>
              <w:t>inidicate</w:t>
            </w:r>
            <w:proofErr w:type="spellEnd"/>
            <w:r>
              <w:rPr>
                <w:rFonts w:hint="eastAsia"/>
                <w:lang w:eastAsia="zh-CN"/>
              </w:rPr>
              <w:t xml:space="preserv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7pt;height:266.1pt" o:ole="">
                  <v:imagedata r:id="rId13" o:title=""/>
                </v:shape>
                <o:OLEObject Type="Embed" ProgID="Visio.Drawing.11" ShapeID="_x0000_i1025" DrawAspect="Content" ObjectID="_1688810236"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CommentText"/>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Malgun Gothic"/>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ListParagraph"/>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ListParagraph"/>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ListParagraph"/>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sligh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lang w:eastAsia="zh-CN"/>
              </w:rPr>
            </w:pPr>
            <w:r>
              <w:rPr>
                <w:rFonts w:hint="eastAsia"/>
              </w:rPr>
              <w:t>LG</w:t>
            </w:r>
          </w:p>
        </w:tc>
        <w:tc>
          <w:tcPr>
            <w:tcW w:w="14596" w:type="dxa"/>
          </w:tcPr>
          <w:p w14:paraId="41EBFC3C" w14:textId="77777777" w:rsidR="00D86976" w:rsidRDefault="00D86976" w:rsidP="00D86976">
            <w:pPr>
              <w:pStyle w:val="ListParagraph"/>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p>
          <w:p w14:paraId="15386E94" w14:textId="77777777" w:rsidR="00D86976" w:rsidRDefault="00D86976" w:rsidP="00D86976">
            <w:pPr>
              <w:pStyle w:val="ListParagraph"/>
              <w:numPr>
                <w:ilvl w:val="0"/>
                <w:numId w:val="5"/>
              </w:numPr>
            </w:pPr>
            <w:r>
              <w:t>When SDT condition is not met, MAC indicates to perform legacy RRC resume procedure</w:t>
            </w:r>
          </w:p>
          <w:p w14:paraId="30F6E302" w14:textId="77777777" w:rsidR="00D86976" w:rsidRDefault="00D86976" w:rsidP="00D86976">
            <w:pPr>
              <w:pStyle w:val="ListParagraph"/>
              <w:numPr>
                <w:ilvl w:val="0"/>
                <w:numId w:val="5"/>
              </w:numPr>
            </w:pPr>
            <w:r>
              <w:t xml:space="preserve">When RRC determines to perform SDT procedure, RRC instructs to MAC to initiate SDT procedure </w:t>
            </w:r>
          </w:p>
          <w:p w14:paraId="0A6F82E5" w14:textId="77777777" w:rsidR="00D86976" w:rsidRDefault="00D86976" w:rsidP="00D86976">
            <w:pPr>
              <w:pStyle w:val="ListParagraph"/>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05pt;height:263.6pt" o:ole="">
                  <v:imagedata r:id="rId15" o:title=""/>
                </v:shape>
                <o:OLEObject Type="Embed" ProgID="Visio.Drawing.11" ShapeID="_x0000_i1026" DrawAspect="Content" ObjectID="_1688810237" r:id="rId16"/>
              </w:object>
            </w:r>
          </w:p>
          <w:p w14:paraId="5DDF6A84" w14:textId="77777777" w:rsidR="00D86976" w:rsidRDefault="00D86976" w:rsidP="00D86976">
            <w:pPr>
              <w:rPr>
                <w:rFonts w:eastAsiaTheme="minorEastAsia"/>
                <w:lang w:eastAsia="zh-CN"/>
              </w:rPr>
            </w:pPr>
          </w:p>
        </w:tc>
      </w:tr>
      <w:tr w:rsidR="000B46DD" w14:paraId="47FB8E57" w14:textId="77777777" w:rsidTr="008324FD">
        <w:tc>
          <w:tcPr>
            <w:tcW w:w="1271" w:type="dxa"/>
          </w:tcPr>
          <w:p w14:paraId="2F7BCA19" w14:textId="2D05FC79" w:rsidR="000B46DD" w:rsidRDefault="000B46DD" w:rsidP="00D86976">
            <w:r>
              <w:lastRenderedPageBreak/>
              <w:t>ZTE</w:t>
            </w:r>
          </w:p>
        </w:tc>
        <w:tc>
          <w:tcPr>
            <w:tcW w:w="14596" w:type="dxa"/>
          </w:tcPr>
          <w:p w14:paraId="5E7029D7" w14:textId="77777777" w:rsidR="000B46DD" w:rsidRDefault="000B46DD" w:rsidP="000B46DD">
            <w:r>
              <w:t xml:space="preserve">We think the current modelling is in general fine. </w:t>
            </w:r>
          </w:p>
          <w:p w14:paraId="038F0647" w14:textId="1229BB72" w:rsidR="000B46DD" w:rsidRDefault="000B46DD" w:rsidP="000B46DD">
            <w:pPr>
              <w:pStyle w:val="ListParagraph"/>
              <w:numPr>
                <w:ilvl w:val="0"/>
                <w:numId w:val="5"/>
              </w:numPr>
            </w:pPr>
            <w:r>
              <w:t xml:space="preserve">If the SDT RBs are resumed before determining that SDT can be used, then we need additional mechanisms to ensure the SDT data is not actually included in the MSG3/MSGA payload (in case SDT is not eventually chosen). This will further complicate the procedure </w:t>
            </w:r>
            <w:r w:rsidR="00D73F8F">
              <w:t xml:space="preserve">in MAC and RRC and this is unnecessary in our view. </w:t>
            </w:r>
            <w:r>
              <w:t xml:space="preserve"> </w:t>
            </w:r>
          </w:p>
          <w:p w14:paraId="548159C7" w14:textId="5FA99B67" w:rsidR="000B46DD" w:rsidRDefault="000B46DD" w:rsidP="000B46DD">
            <w:pPr>
              <w:pStyle w:val="ListParagraph"/>
              <w:numPr>
                <w:ilvl w:val="0"/>
                <w:numId w:val="5"/>
              </w:numPr>
            </w:pPr>
            <w:r>
              <w:t xml:space="preserve">In general, we think lower layers can have the visibility of data buffered at upper layers. This is a prerequisite for any scheme and we think how this is </w:t>
            </w:r>
            <w:r w:rsidR="00D73F8F">
              <w:t>visible</w:t>
            </w:r>
            <w:r>
              <w:t xml:space="preserve"> to lower layers is UE internal implementation that need not be specified. </w:t>
            </w:r>
          </w:p>
          <w:p w14:paraId="3B04F36E" w14:textId="54EA3765" w:rsidR="000B46DD" w:rsidRDefault="000B46DD" w:rsidP="000B46DD">
            <w:pPr>
              <w:pStyle w:val="ListParagraph"/>
              <w:numPr>
                <w:ilvl w:val="0"/>
                <w:numId w:val="5"/>
              </w:numPr>
            </w:pPr>
            <w:r>
              <w:t>We have some sympathy for comments that all the checks can be performed in one layer (</w:t>
            </w:r>
            <w:proofErr w:type="gramStart"/>
            <w:r>
              <w:t>i.e.</w:t>
            </w:r>
            <w:proofErr w:type="gramEnd"/>
            <w:r>
              <w:t xml:space="preserve"> kept in one spec). However, we don’t have strong view on this and we think the current modelling is a good compromise split without extensive interlayer interactions. We don’t think </w:t>
            </w:r>
            <w:r>
              <w:lastRenderedPageBreak/>
              <w:t xml:space="preserve">there is really much difference in capturing this in RRC/MAC or in SDAP. However, typically we capture such procedures when executing the </w:t>
            </w:r>
            <w:proofErr w:type="spellStart"/>
            <w:r>
              <w:t>RRCResume</w:t>
            </w:r>
            <w:proofErr w:type="spellEnd"/>
            <w:r>
              <w:t xml:space="preserve"> mainly in RRC. So, we don’t really think SDAP is suitable for this purpose and we prefer to keep SDAP unchanged. </w:t>
            </w: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TableGrid"/>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ListParagraph"/>
              <w:numPr>
                <w:ilvl w:val="0"/>
                <w:numId w:val="5"/>
              </w:numPr>
            </w:pPr>
            <w:r>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222B7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222B7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 xml:space="preserve">FFS for </w:t>
            </w:r>
            <w:r w:rsidRPr="008562A2">
              <w:rPr>
                <w:i/>
                <w:iCs/>
              </w:rPr>
              <w:lastRenderedPageBreak/>
              <w:t>non-SDT DRBs. FFS on implicit vs. explicit.  FFS on whether we a new Resume cause.  FFS on whether we need to deal with suppressing PDCP status report</w:t>
            </w:r>
          </w:p>
        </w:tc>
      </w:tr>
      <w:tr w:rsidR="00D053B9" w14:paraId="35E2E6BB" w14:textId="77777777" w:rsidTr="00222B7C">
        <w:tc>
          <w:tcPr>
            <w:tcW w:w="1271" w:type="dxa"/>
          </w:tcPr>
          <w:p w14:paraId="2815CA74" w14:textId="73D94AC4" w:rsidR="00D053B9" w:rsidRDefault="002B7122" w:rsidP="00D053B9">
            <w:r>
              <w:rPr>
                <w:rFonts w:hint="eastAsia"/>
              </w:rPr>
              <w:lastRenderedPageBreak/>
              <w:t>Samsung</w:t>
            </w:r>
          </w:p>
        </w:tc>
        <w:tc>
          <w:tcPr>
            <w:tcW w:w="14596" w:type="dxa"/>
          </w:tcPr>
          <w:p w14:paraId="6704955C" w14:textId="375C91A2" w:rsidR="00D053B9" w:rsidRDefault="002B7122" w:rsidP="00D053B9">
            <w:r>
              <w:rPr>
                <w:rFonts w:hint="eastAsia"/>
              </w:rPr>
              <w:t xml:space="preserve">Resumption should be performed after making the decision to initiate SDT procedure (i.e. </w:t>
            </w:r>
            <w:r>
              <w:t>all conditions are met)</w:t>
            </w:r>
          </w:p>
        </w:tc>
      </w:tr>
      <w:tr w:rsidR="00D86976" w14:paraId="18084D1E" w14:textId="77777777" w:rsidTr="00222B7C">
        <w:tc>
          <w:tcPr>
            <w:tcW w:w="1271" w:type="dxa"/>
          </w:tcPr>
          <w:p w14:paraId="22FC095A" w14:textId="324AF69C" w:rsidR="00D86976" w:rsidRDefault="00D86976" w:rsidP="00D86976">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ListParagraph"/>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ListParagraph"/>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39FF73C0" w14:textId="3FF38E45" w:rsidR="00D86976" w:rsidRDefault="00D86976" w:rsidP="00D86976">
            <w:r>
              <w:t xml:space="preserve">In [AT113bis-e][501][SDT] UP SDT open issue, there was a consensus that data volume used for SDT selection criteria is calculated as the total sum of Buffer Size across SDT RBs, and this means that </w:t>
            </w:r>
            <w:r>
              <w:rPr>
                <w:rFonts w:eastAsia="Malgun Gothic" w:hint="eastAsia"/>
              </w:rPr>
              <w:t xml:space="preserve">majority companies think that </w:t>
            </w:r>
            <w:r>
              <w:rPr>
                <w:rFonts w:eastAsia="Malgun Gothic"/>
              </w:rPr>
              <w:t>data volume used for SDT can be calculated similar to legacy BS. We thnk Option 2 is more aligned with legacy BS calculation and is acceptable from RAN2 point of view.</w:t>
            </w:r>
          </w:p>
        </w:tc>
      </w:tr>
      <w:tr w:rsidR="000B46DD" w14:paraId="27500A7E" w14:textId="77777777" w:rsidTr="00222B7C">
        <w:tc>
          <w:tcPr>
            <w:tcW w:w="1271" w:type="dxa"/>
          </w:tcPr>
          <w:p w14:paraId="54AA9F21" w14:textId="58C5830C" w:rsidR="000B46DD" w:rsidRDefault="000B46DD" w:rsidP="00D86976">
            <w:r>
              <w:t>ZTE</w:t>
            </w:r>
          </w:p>
        </w:tc>
        <w:tc>
          <w:tcPr>
            <w:tcW w:w="14596" w:type="dxa"/>
          </w:tcPr>
          <w:p w14:paraId="729C85DB" w14:textId="0A324F3D" w:rsidR="000B46DD" w:rsidRDefault="0095076F" w:rsidP="00D86976">
            <w:r>
              <w:t xml:space="preserve">We agree with Samsung and NEC. </w:t>
            </w:r>
            <w:r w:rsidR="000B46DD">
              <w:t xml:space="preserve">We think lower layers should have visibility of data from upper layers. </w:t>
            </w:r>
          </w:p>
          <w:p w14:paraId="10ED0C15" w14:textId="5C2E7289" w:rsidR="000B46DD" w:rsidRDefault="00D73F8F" w:rsidP="00D86976">
            <w:r>
              <w:t xml:space="preserve">In </w:t>
            </w:r>
            <w:proofErr w:type="gramStart"/>
            <w:r>
              <w:t>general</w:t>
            </w:r>
            <w:proofErr w:type="gramEnd"/>
            <w:r>
              <w:t xml:space="preserve"> we also think that </w:t>
            </w:r>
            <w:r w:rsidR="000B46DD">
              <w:t>Option 2 above in LG</w:t>
            </w:r>
            <w:r>
              <w:t>’s reply</w:t>
            </w:r>
            <w:r w:rsidR="000B46DD">
              <w:t xml:space="preserve"> </w:t>
            </w:r>
            <w:r>
              <w:t>works</w:t>
            </w:r>
            <w:r w:rsidR="000B46DD">
              <w:t xml:space="preserve">. However, we think option 2 is feasible with or without the RBs being resumed. </w:t>
            </w:r>
          </w:p>
          <w:p w14:paraId="30A7901A" w14:textId="2331226D" w:rsidR="000B46DD" w:rsidRDefault="000B46DD" w:rsidP="00D86976">
            <w:r>
              <w:t xml:space="preserve">On the </w:t>
            </w:r>
            <w:proofErr w:type="spellStart"/>
            <w:r>
              <w:t>otherhand</w:t>
            </w:r>
            <w:proofErr w:type="spellEnd"/>
            <w:r>
              <w:t xml:space="preserve"> if the SDT RBs are resumed and if </w:t>
            </w:r>
            <w:r w:rsidR="0095076F">
              <w:t xml:space="preserve">SDT is not eventually chosen then the data from these resumed RBs shall </w:t>
            </w:r>
            <w:proofErr w:type="spellStart"/>
            <w:r w:rsidR="0095076F">
              <w:t>removed</w:t>
            </w:r>
            <w:proofErr w:type="spellEnd"/>
            <w:r w:rsidR="0095076F">
              <w:t xml:space="preserve"> from the MAC PDU which would have been submitted to lower layers (along with the CCCH message). This in our view will create unnecessary complexity and hence the current modelling is simple and sufficient. </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TableGrid"/>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Heading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ListParagraph"/>
        <w:snapToGrid w:val="0"/>
        <w:ind w:left="1440"/>
        <w:rPr>
          <w:rFonts w:cs="Arial"/>
          <w:snapToGrid w:val="0"/>
          <w:color w:val="ED7D31" w:themeColor="accent2"/>
          <w:sz w:val="20"/>
          <w:szCs w:val="20"/>
          <w:u w:val="single"/>
        </w:rPr>
      </w:pPr>
    </w:p>
    <w:p w14:paraId="26F700D0" w14:textId="77777777" w:rsidR="009F3AA4" w:rsidRDefault="003B4681">
      <w:pPr>
        <w:pStyle w:val="Heading1"/>
        <w:rPr>
          <w:snapToGrid w:val="0"/>
        </w:rPr>
      </w:pPr>
      <w:r>
        <w:rPr>
          <w:snapToGrid w:val="0"/>
        </w:rPr>
        <w:t>References</w:t>
      </w:r>
    </w:p>
    <w:bookmarkStart w:id="3" w:name="_Hlk75271574"/>
    <w:p w14:paraId="6CE6FA4F" w14:textId="0F95BEE0" w:rsidR="009F3AA4"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Hyperlink"/>
        </w:rPr>
        <w:t>R2-2105032</w:t>
      </w:r>
      <w:r>
        <w:rPr>
          <w:rStyle w:val="Hyperlink"/>
        </w:rPr>
        <w:fldChar w:fldCharType="end"/>
      </w:r>
      <w:bookmarkEnd w:id="3"/>
      <w:r>
        <w:tab/>
        <w:t>Runnning MAC CR for small data</w:t>
      </w:r>
      <w:r>
        <w:tab/>
        <w:t>Huawei, HiSilicon</w:t>
      </w:r>
    </w:p>
    <w:bookmarkStart w:id="4" w:name="_Hlk75271563"/>
    <w:p w14:paraId="7EC85676" w14:textId="265A1C87" w:rsidR="00CA6766" w:rsidRPr="00CA6766" w:rsidRDefault="00CA6766">
      <w:pPr>
        <w:pStyle w:val="ListParagraph"/>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Hyperlink"/>
        </w:rPr>
        <w:t>R2-2105927</w:t>
      </w:r>
      <w:r>
        <w:rPr>
          <w:rStyle w:val="Hyperlink"/>
        </w:rPr>
        <w:fldChar w:fldCharType="end"/>
      </w:r>
      <w:bookmarkEnd w:id="4"/>
      <w:r>
        <w:tab/>
        <w:t>RRC Running CR for SDT</w:t>
      </w:r>
      <w:r>
        <w:tab/>
        <w:t>ZTE Corporation (rapporteur)</w:t>
      </w:r>
    </w:p>
    <w:p w14:paraId="6A052E4C" w14:textId="63A32BCB" w:rsidR="00CA6766" w:rsidRDefault="00C849BD">
      <w:pPr>
        <w:pStyle w:val="ListParagraph"/>
        <w:numPr>
          <w:ilvl w:val="0"/>
          <w:numId w:val="13"/>
        </w:numPr>
        <w:rPr>
          <w:lang w:val="en-GB" w:eastAsia="en-GB"/>
        </w:rPr>
      </w:pPr>
      <w:hyperlink r:id="rId17" w:history="1">
        <w:r w:rsidR="00CA6766" w:rsidRPr="009A76D5">
          <w:rPr>
            <w:rStyle w:val="Hyperlink"/>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ListParagraph"/>
        <w:ind w:left="360"/>
        <w:rPr>
          <w:lang w:val="en-GB" w:eastAsia="en-GB"/>
        </w:rPr>
      </w:pPr>
    </w:p>
    <w:p w14:paraId="30589E14" w14:textId="77777777" w:rsidR="009F3AA4" w:rsidRDefault="003B4681">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lastRenderedPageBreak/>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77777777" w:rsidR="00D86976" w:rsidRDefault="00D86976" w:rsidP="00D86976">
            <w:pPr>
              <w:rPr>
                <w:rFonts w:eastAsiaTheme="minorEastAsia"/>
                <w:lang w:val="en-GB" w:eastAsia="zh-CN"/>
              </w:rPr>
            </w:pPr>
          </w:p>
        </w:tc>
        <w:tc>
          <w:tcPr>
            <w:tcW w:w="7889" w:type="dxa"/>
          </w:tcPr>
          <w:p w14:paraId="67AE3AE1" w14:textId="77777777" w:rsidR="00D86976" w:rsidRDefault="00D86976" w:rsidP="00D86976">
            <w:pPr>
              <w:rPr>
                <w:rFonts w:eastAsiaTheme="minorEastAsia"/>
                <w:lang w:val="en-GB" w:eastAsia="zh-CN"/>
              </w:rPr>
            </w:pPr>
          </w:p>
        </w:tc>
        <w:tc>
          <w:tcPr>
            <w:tcW w:w="5289" w:type="dxa"/>
          </w:tcPr>
          <w:p w14:paraId="2215A5C1" w14:textId="77777777" w:rsidR="00D86976" w:rsidRDefault="00D86976" w:rsidP="00D86976">
            <w:pPr>
              <w:rPr>
                <w:rFonts w:eastAsiaTheme="minorEastAsia"/>
                <w:lang w:val="en-GB" w:eastAsia="zh-CN"/>
              </w:rPr>
            </w:pPr>
          </w:p>
        </w:tc>
      </w:tr>
      <w:tr w:rsidR="00D86976" w14:paraId="45B5892D" w14:textId="77777777">
        <w:tc>
          <w:tcPr>
            <w:tcW w:w="2689" w:type="dxa"/>
          </w:tcPr>
          <w:p w14:paraId="7FFC3EE7" w14:textId="77777777" w:rsidR="00D86976" w:rsidRDefault="00D86976" w:rsidP="00D86976">
            <w:pPr>
              <w:rPr>
                <w:rFonts w:eastAsiaTheme="minorEastAsia"/>
                <w:lang w:val="en-GB" w:eastAsia="zh-CN"/>
              </w:rPr>
            </w:pPr>
          </w:p>
        </w:tc>
        <w:tc>
          <w:tcPr>
            <w:tcW w:w="7889" w:type="dxa"/>
          </w:tcPr>
          <w:p w14:paraId="0B062360" w14:textId="77777777" w:rsidR="00D86976" w:rsidRDefault="00D86976" w:rsidP="00D86976">
            <w:pPr>
              <w:rPr>
                <w:rFonts w:eastAsiaTheme="minorEastAsia"/>
                <w:lang w:val="en-GB" w:eastAsia="zh-CN"/>
              </w:rPr>
            </w:pPr>
          </w:p>
        </w:tc>
        <w:tc>
          <w:tcPr>
            <w:tcW w:w="5289" w:type="dxa"/>
          </w:tcPr>
          <w:p w14:paraId="0587CC4E" w14:textId="77777777" w:rsidR="00D86976" w:rsidRDefault="00D86976" w:rsidP="00D86976">
            <w:pPr>
              <w:rPr>
                <w:rFonts w:eastAsiaTheme="minorEastAsia"/>
                <w:lang w:val="en-GB" w:eastAsia="zh-CN"/>
              </w:rPr>
            </w:pPr>
          </w:p>
        </w:tc>
      </w:tr>
      <w:tr w:rsidR="00D86976" w14:paraId="2E7780A3" w14:textId="77777777">
        <w:tc>
          <w:tcPr>
            <w:tcW w:w="2689" w:type="dxa"/>
          </w:tcPr>
          <w:p w14:paraId="605C7011" w14:textId="77777777" w:rsidR="00D86976" w:rsidRDefault="00D86976" w:rsidP="00D86976">
            <w:pPr>
              <w:rPr>
                <w:rFonts w:eastAsiaTheme="minorEastAsia"/>
                <w:lang w:val="en-GB" w:eastAsia="zh-CN"/>
              </w:rPr>
            </w:pPr>
          </w:p>
        </w:tc>
        <w:tc>
          <w:tcPr>
            <w:tcW w:w="7889" w:type="dxa"/>
          </w:tcPr>
          <w:p w14:paraId="55442B85" w14:textId="77777777" w:rsidR="00D86976" w:rsidRDefault="00D86976" w:rsidP="00D86976">
            <w:pPr>
              <w:rPr>
                <w:rFonts w:eastAsia="PMingLiU"/>
                <w:lang w:val="en-GB" w:eastAsia="zh-TW"/>
              </w:rPr>
            </w:pPr>
          </w:p>
        </w:tc>
        <w:tc>
          <w:tcPr>
            <w:tcW w:w="5289" w:type="dxa"/>
          </w:tcPr>
          <w:p w14:paraId="33466402" w14:textId="77777777" w:rsidR="00D86976" w:rsidRDefault="00D86976" w:rsidP="00D86976">
            <w:pPr>
              <w:rPr>
                <w:rFonts w:eastAsia="PMingLiU"/>
                <w:lang w:val="en-GB" w:eastAsia="zh-TW"/>
              </w:rPr>
            </w:pPr>
          </w:p>
        </w:tc>
      </w:tr>
      <w:tr w:rsidR="00D86976" w14:paraId="6DB3DAF7" w14:textId="77777777">
        <w:tc>
          <w:tcPr>
            <w:tcW w:w="2689" w:type="dxa"/>
          </w:tcPr>
          <w:p w14:paraId="398EB3DF" w14:textId="77777777" w:rsidR="00D86976" w:rsidRDefault="00D86976" w:rsidP="00D86976">
            <w:pPr>
              <w:rPr>
                <w:rFonts w:eastAsiaTheme="minorEastAsia"/>
                <w:lang w:val="en-GB" w:eastAsia="zh-CN"/>
              </w:rPr>
            </w:pPr>
          </w:p>
        </w:tc>
        <w:tc>
          <w:tcPr>
            <w:tcW w:w="7889" w:type="dxa"/>
          </w:tcPr>
          <w:p w14:paraId="329756DE" w14:textId="77777777" w:rsidR="00D86976" w:rsidRDefault="00D86976" w:rsidP="00D86976">
            <w:pPr>
              <w:rPr>
                <w:rFonts w:eastAsia="PMingLiU"/>
                <w:lang w:val="en-GB" w:eastAsia="zh-TW"/>
              </w:rPr>
            </w:pPr>
          </w:p>
        </w:tc>
        <w:tc>
          <w:tcPr>
            <w:tcW w:w="5289" w:type="dxa"/>
          </w:tcPr>
          <w:p w14:paraId="72EC48DA" w14:textId="77777777" w:rsidR="00D86976" w:rsidRDefault="00D86976" w:rsidP="00D86976">
            <w:pPr>
              <w:rPr>
                <w:rFonts w:eastAsia="PMingLiU"/>
                <w:lang w:val="en-GB" w:eastAsia="zh-TW"/>
              </w:rPr>
            </w:pP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ListParagraph"/>
        <w:ind w:left="360"/>
        <w:rPr>
          <w:lang w:val="en-GB" w:eastAsia="en-GB"/>
        </w:rPr>
      </w:pPr>
    </w:p>
    <w:sectPr w:rsidR="009F3AA4">
      <w:headerReference w:type="even" r:id="rId18"/>
      <w:headerReference w:type="default" r:id="rId19"/>
      <w:footerReference w:type="even" r:id="rId20"/>
      <w:footerReference w:type="default" r:id="rId21"/>
      <w:headerReference w:type="first" r:id="rId22"/>
      <w:footerReference w:type="first" r:id="rId2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3BAC" w14:textId="77777777" w:rsidR="00C849BD" w:rsidRDefault="00C849BD">
      <w:pPr>
        <w:spacing w:after="0" w:line="240" w:lineRule="auto"/>
      </w:pPr>
      <w:r>
        <w:separator/>
      </w:r>
    </w:p>
  </w:endnote>
  <w:endnote w:type="continuationSeparator" w:id="0">
    <w:p w14:paraId="33EAC65B" w14:textId="77777777" w:rsidR="00C849BD" w:rsidRDefault="00C8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206D" w14:textId="77777777" w:rsidR="00D73F8F" w:rsidRDefault="00D73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5D6D" w14:textId="77777777" w:rsidR="00D73F8F" w:rsidRDefault="00D73F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D603" w14:textId="77777777" w:rsidR="00D73F8F" w:rsidRDefault="00D7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DC44" w14:textId="77777777" w:rsidR="00C849BD" w:rsidRDefault="00C849BD">
      <w:pPr>
        <w:spacing w:after="0" w:line="240" w:lineRule="auto"/>
      </w:pPr>
      <w:r>
        <w:separator/>
      </w:r>
    </w:p>
  </w:footnote>
  <w:footnote w:type="continuationSeparator" w:id="0">
    <w:p w14:paraId="3920B11E" w14:textId="77777777" w:rsidR="00C849BD" w:rsidRDefault="00C8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B205" w14:textId="77777777" w:rsidR="00D73F8F" w:rsidRDefault="00D73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471C" w14:textId="77777777" w:rsidR="00D73F8F" w:rsidRDefault="00D73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630C1" w14:textId="77777777" w:rsidR="00D73F8F" w:rsidRDefault="00D7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8"/>
  </w:num>
  <w:num w:numId="4">
    <w:abstractNumId w:val="14"/>
  </w:num>
  <w:num w:numId="5">
    <w:abstractNumId w:val="5"/>
  </w:num>
  <w:num w:numId="6">
    <w:abstractNumId w:val="6"/>
  </w:num>
  <w:num w:numId="7">
    <w:abstractNumId w:val="2"/>
  </w:num>
  <w:num w:numId="8">
    <w:abstractNumId w:val="15"/>
  </w:num>
  <w:num w:numId="9">
    <w:abstractNumId w:val="13"/>
  </w:num>
  <w:num w:numId="10">
    <w:abstractNumId w:val="0"/>
  </w:num>
  <w:num w:numId="11">
    <w:abstractNumId w:val="7"/>
  </w:num>
  <w:num w:numId="12">
    <w:abstractNumId w:val="11"/>
  </w:num>
  <w:num w:numId="13">
    <w:abstractNumId w:val="3"/>
  </w:num>
  <w:num w:numId="14">
    <w:abstractNumId w:val="9"/>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46DD"/>
    <w:rsid w:val="000B5190"/>
    <w:rsid w:val="000B5909"/>
    <w:rsid w:val="000B60F1"/>
    <w:rsid w:val="000D27CA"/>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086B"/>
    <w:rsid w:val="001943E7"/>
    <w:rsid w:val="001A1D52"/>
    <w:rsid w:val="001A21F5"/>
    <w:rsid w:val="001B47B8"/>
    <w:rsid w:val="001B4800"/>
    <w:rsid w:val="001B5053"/>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122"/>
    <w:rsid w:val="002B7782"/>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17495"/>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2CE0"/>
    <w:rsid w:val="008B3497"/>
    <w:rsid w:val="008B72F8"/>
    <w:rsid w:val="008C2F90"/>
    <w:rsid w:val="008C3FF0"/>
    <w:rsid w:val="008C6591"/>
    <w:rsid w:val="008E0910"/>
    <w:rsid w:val="008E631B"/>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076F"/>
    <w:rsid w:val="00951686"/>
    <w:rsid w:val="00953B87"/>
    <w:rsid w:val="00954016"/>
    <w:rsid w:val="00955C55"/>
    <w:rsid w:val="009628FE"/>
    <w:rsid w:val="009630C8"/>
    <w:rsid w:val="00963DDD"/>
    <w:rsid w:val="009658CA"/>
    <w:rsid w:val="00970298"/>
    <w:rsid w:val="0097280D"/>
    <w:rsid w:val="00976B4E"/>
    <w:rsid w:val="009835DF"/>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0090"/>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49BD"/>
    <w:rsid w:val="00C855F0"/>
    <w:rsid w:val="00C9097D"/>
    <w:rsid w:val="00C91D54"/>
    <w:rsid w:val="00C9374C"/>
    <w:rsid w:val="00C942CB"/>
    <w:rsid w:val="00C94711"/>
    <w:rsid w:val="00C96FBC"/>
    <w:rsid w:val="00CA0122"/>
    <w:rsid w:val="00CA38A5"/>
    <w:rsid w:val="00CA6766"/>
    <w:rsid w:val="00CA67B2"/>
    <w:rsid w:val="00CB48F8"/>
    <w:rsid w:val="00CB5057"/>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3F8F"/>
    <w:rsid w:val="00D749C3"/>
    <w:rsid w:val="00D75CF7"/>
    <w:rsid w:val="00D8079C"/>
    <w:rsid w:val="00D815B8"/>
    <w:rsid w:val="00D864C6"/>
    <w:rsid w:val="00D8697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Caption">
    <w:name w:val="caption"/>
    <w:basedOn w:val="Normal"/>
    <w:next w:val="Normal"/>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file:///C:\evutukuri\work\5G\RAN2\docs\R2-21058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51F11F6B-D01C-4B76-8642-C31671BE348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ZTE(EV)</cp:lastModifiedBy>
  <cp:revision>3</cp:revision>
  <dcterms:created xsi:type="dcterms:W3CDTF">2021-07-26T10:52:00Z</dcterms:created>
  <dcterms:modified xsi:type="dcterms:W3CDTF">2021-07-26T12:10:00Z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ies>
</file>