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a4"/>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20"/>
        <w:numPr>
          <w:ilvl w:val="0"/>
          <w:numId w:val="0"/>
        </w:numPr>
        <w:ind w:left="567" w:hanging="567"/>
        <w:rPr>
          <w:lang w:eastAsia="zh-CN"/>
        </w:rPr>
      </w:pPr>
      <w:r>
        <w:rPr>
          <w:lang w:eastAsia="zh-CN"/>
        </w:rPr>
        <w:t>1.1</w:t>
      </w:r>
      <w:r>
        <w:rPr>
          <w:lang w:eastAsia="zh-CN"/>
        </w:rPr>
        <w:tab/>
        <w:t>Company contact details</w:t>
      </w:r>
    </w:p>
    <w:tbl>
      <w:tblPr>
        <w:tblStyle w:val="af3"/>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proofErr w:type="spellStart"/>
            <w:r>
              <w:rPr>
                <w:rFonts w:hint="eastAsia"/>
                <w:lang w:eastAsia="zh-CN"/>
              </w:rPr>
              <w:t>MediaTek</w:t>
            </w:r>
            <w:proofErr w:type="spellEnd"/>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rFonts w:hint="eastAsia"/>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af1"/>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af1"/>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w:t>
      </w:r>
      <w:r w:rsidR="00665407">
        <w:rPr>
          <w:lang w:val="en-US" w:eastAsia="zh-CN"/>
        </w:rPr>
        <w:lastRenderedPageBreak/>
        <w:t xml:space="preserve">the IEs used to configure DRB and MRB are the same and with the current approach, as copied below, unnecessary replication of these parts is avoided. </w:t>
      </w:r>
    </w:p>
    <w:tbl>
      <w:tblPr>
        <w:tblStyle w:val="af3"/>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lastRenderedPageBreak/>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af3"/>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w:t>
            </w:r>
            <w:proofErr w:type="spellStart"/>
            <w:r w:rsidRPr="00DE02D6">
              <w:rPr>
                <w:rFonts w:eastAsia="MS Mincho"/>
                <w:bCs/>
                <w:lang w:val="en-US" w:eastAsia="ja-JP"/>
              </w:rPr>
              <w:t>eMBMS</w:t>
            </w:r>
            <w:proofErr w:type="spellEnd"/>
            <w:r w:rsidRPr="00DE02D6">
              <w:rPr>
                <w:rFonts w:eastAsia="MS Mincho"/>
                <w:bCs/>
                <w:lang w:val="en-US" w:eastAsia="ja-JP"/>
              </w:rPr>
              <w:t xml:space="preserve">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proofErr w:type="spellStart"/>
            <w:r w:rsidRPr="00A30E5B">
              <w:rPr>
                <w:b/>
                <w:lang w:val="en-US" w:eastAsia="zh-CN"/>
              </w:rPr>
              <w:t>MediaTek</w:t>
            </w:r>
            <w:proofErr w:type="spellEnd"/>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proofErr w:type="spellStart"/>
            <w:r w:rsidR="005D78CE">
              <w:rPr>
                <w:bCs/>
                <w:i/>
                <w:iCs/>
                <w:lang w:val="en-US" w:eastAsia="zh-CN"/>
              </w:rPr>
              <w:t>cn</w:t>
            </w:r>
            <w:proofErr w:type="spellEnd"/>
            <w:r w:rsidR="005D78CE">
              <w:rPr>
                <w:bCs/>
                <w:i/>
                <w:iCs/>
                <w:lang w:val="en-US" w:eastAsia="zh-CN"/>
              </w:rPr>
              <w:t>-Association</w:t>
            </w:r>
            <w:r w:rsidR="005D78CE">
              <w:rPr>
                <w:bCs/>
                <w:lang w:val="en-US" w:eastAsia="zh-CN"/>
              </w:rPr>
              <w:t xml:space="preserve"> and </w:t>
            </w:r>
            <w:proofErr w:type="spellStart"/>
            <w:r w:rsidR="005D78CE">
              <w:rPr>
                <w:bCs/>
                <w:i/>
                <w:iCs/>
                <w:lang w:val="en-US" w:eastAsia="zh-CN"/>
              </w:rPr>
              <w:t>drb</w:t>
            </w:r>
            <w:proofErr w:type="spellEnd"/>
            <w:r w:rsidR="005D78CE">
              <w:rPr>
                <w:bCs/>
                <w:i/>
                <w:iCs/>
                <w:lang w:val="en-US" w:eastAsia="zh-CN"/>
              </w:rPr>
              <w:t>-Identity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586120">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586120">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af3"/>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w:t>
            </w:r>
            <w:proofErr w:type="spellStart"/>
            <w:r w:rsidRPr="00DE02D6">
              <w:rPr>
                <w:rFonts w:eastAsia="MS Mincho"/>
                <w:bCs/>
                <w:lang w:val="en-US" w:eastAsia="ja-JP"/>
              </w:rPr>
              <w:t>signalling</w:t>
            </w:r>
            <w:proofErr w:type="spellEnd"/>
            <w:r w:rsidRPr="00DE02D6">
              <w:rPr>
                <w:rFonts w:eastAsia="MS Mincho"/>
                <w:bCs/>
                <w:lang w:val="en-US" w:eastAsia="ja-JP"/>
              </w:rPr>
              <w:t xml:space="preserve"> and procedure, as the rapporteur explained. However, we think it’s RAN2 common understanding that DM1 and DM2 are not defined in the specification. As for </w:t>
            </w:r>
            <w:r w:rsidRPr="00DE02D6">
              <w:rPr>
                <w:rFonts w:eastAsia="MS Mincho"/>
                <w:bCs/>
                <w:lang w:val="en-US" w:eastAsia="ja-JP"/>
              </w:rPr>
              <w:lastRenderedPageBreak/>
              <w:t xml:space="preserve">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w:t>
            </w:r>
            <w:proofErr w:type="spellStart"/>
            <w:r w:rsidRPr="00DE02D6">
              <w:rPr>
                <w:rFonts w:eastAsia="MS Mincho"/>
                <w:bCs/>
                <w:lang w:val="en-US" w:eastAsia="ja-JP"/>
              </w:rPr>
              <w:t>eMBMS</w:t>
            </w:r>
            <w:proofErr w:type="spellEnd"/>
            <w:r w:rsidRPr="00DE02D6">
              <w:rPr>
                <w:rFonts w:eastAsia="MS Mincho"/>
                <w:bCs/>
                <w:lang w:val="en-US" w:eastAsia="ja-JP"/>
              </w:rPr>
              <w:t xml:space="preserve">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proofErr w:type="spellStart"/>
            <w:r w:rsidRPr="00A30E5B">
              <w:rPr>
                <w:b/>
                <w:lang w:val="en-US" w:eastAsia="zh-CN"/>
              </w:rPr>
              <w:lastRenderedPageBreak/>
              <w:t>MediaTek</w:t>
            </w:r>
            <w:proofErr w:type="spellEnd"/>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w:t>
            </w:r>
            <w:proofErr w:type="spellStart"/>
            <w:r>
              <w:rPr>
                <w:lang w:val="en-US" w:eastAsia="zh-CN"/>
              </w:rPr>
              <w:t>QoS</w:t>
            </w:r>
            <w:proofErr w:type="spellEnd"/>
            <w:r>
              <w:rPr>
                <w:lang w:val="en-US" w:eastAsia="zh-CN"/>
              </w:rPr>
              <w:t xml:space="preserve">/session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8F39E2">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8F39E2">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586120">
            <w:pPr>
              <w:pStyle w:val="af2"/>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586120">
            <w:pPr>
              <w:pStyle w:val="af2"/>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proofErr w:type="spellStart"/>
            <w:r w:rsidRPr="00A10CDE">
              <w:t>signaling</w:t>
            </w:r>
            <w:proofErr w:type="spellEnd"/>
            <w:r w:rsidRPr="00A10CDE">
              <w:t>/procedures</w:t>
            </w:r>
            <w:r w:rsidRPr="00A10CDE">
              <w:rPr>
                <w:rFonts w:hint="eastAsia"/>
              </w:rPr>
              <w:t xml:space="preserve">. It can be configured with different </w:t>
            </w:r>
            <w:bookmarkStart w:id="4" w:name="_GoBack"/>
            <w:bookmarkEnd w:id="4"/>
            <w:proofErr w:type="spellStart"/>
            <w:r w:rsidRPr="00A10CDE">
              <w:t>signaling</w:t>
            </w:r>
            <w:proofErr w:type="spellEnd"/>
            <w:r w:rsidRPr="00A10CDE">
              <w:rPr>
                <w:rFonts w:hint="eastAsia"/>
              </w:rPr>
              <w:t>/procedures for delivery mode 1 and delivery mode 2 respectively.</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af3"/>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t>
            </w:r>
            <w:r>
              <w:rPr>
                <w:lang w:eastAsia="zh-CN"/>
              </w:rPr>
              <w:lastRenderedPageBreak/>
              <w:t xml:space="preserve">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lastRenderedPageBreak/>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 xml:space="preserve">Wait for RAN1 conclusion on RNTI used for MCCH change </w:t>
            </w:r>
            <w:r>
              <w:rPr>
                <w:lang w:val="en-US" w:eastAsia="zh-CN"/>
              </w:rPr>
              <w:lastRenderedPageBreak/>
              <w:t>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lastRenderedPageBreak/>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 xml:space="preserve">due to modification of an </w:t>
            </w:r>
            <w:proofErr w:type="spellStart"/>
            <w:r w:rsidRPr="00F33D4E">
              <w:rPr>
                <w:lang w:eastAsia="zh-CN"/>
              </w:rPr>
              <w:t>ongoing</w:t>
            </w:r>
            <w:proofErr w:type="spellEnd"/>
            <w:r w:rsidRPr="00F33D4E">
              <w:rPr>
                <w:lang w:eastAsia="zh-CN"/>
              </w:rPr>
              <w:t xml:space="preserve">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w:t>
            </w:r>
            <w:r>
              <w:rPr>
                <w:lang w:eastAsia="en-GB"/>
              </w:rPr>
              <w:lastRenderedPageBreak/>
              <w:t>configuration parameters are FFS.</w:t>
            </w:r>
          </w:p>
        </w:tc>
        <w:tc>
          <w:tcPr>
            <w:tcW w:w="2835" w:type="dxa"/>
          </w:tcPr>
          <w:p w14:paraId="32AAC237" w14:textId="477FAA7E" w:rsidR="008D086B" w:rsidRDefault="008D086B" w:rsidP="008D086B">
            <w:pPr>
              <w:spacing w:after="120"/>
              <w:jc w:val="both"/>
              <w:rPr>
                <w:lang w:eastAsia="zh-CN"/>
              </w:rPr>
            </w:pPr>
            <w:r>
              <w:rPr>
                <w:lang w:eastAsia="zh-CN"/>
              </w:rPr>
              <w:lastRenderedPageBreak/>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lastRenderedPageBreak/>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af2"/>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09E25" w14:textId="77777777" w:rsidR="001443D9" w:rsidRDefault="001443D9">
      <w:r>
        <w:separator/>
      </w:r>
    </w:p>
  </w:endnote>
  <w:endnote w:type="continuationSeparator" w:id="0">
    <w:p w14:paraId="05E0DD4E" w14:textId="77777777" w:rsidR="001443D9" w:rsidRDefault="001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DA526" w14:textId="77777777" w:rsidR="001443D9" w:rsidRDefault="001443D9">
      <w:r>
        <w:separator/>
      </w:r>
    </w:p>
  </w:footnote>
  <w:footnote w:type="continuationSeparator" w:id="0">
    <w:p w14:paraId="2BE664CE" w14:textId="77777777" w:rsidR="001443D9" w:rsidRDefault="001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A759E"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16A"/>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16A"/>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EA1148-2039-4EC7-837B-A8F29EA1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17</cp:revision>
  <cp:lastPrinted>1900-12-31T16:00:00Z</cp:lastPrinted>
  <dcterms:created xsi:type="dcterms:W3CDTF">2021-08-05T02:21:00Z</dcterms:created>
  <dcterms:modified xsi:type="dcterms:W3CDTF">2021-08-05T08:31:00Z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