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B2CD1" w14:textId="71166835" w:rsidR="001617C0" w:rsidRPr="00A66CB9" w:rsidRDefault="001617C0" w:rsidP="001617C0">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A66CB9">
        <w:rPr>
          <w:b/>
          <w:sz w:val="24"/>
          <w:lang w:val="en-US" w:eastAsia="ko-KR"/>
        </w:rPr>
        <w:t>xxxx</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w:t>
      </w:r>
      <w:proofErr w:type="spellEnd"/>
      <w:r w:rsidR="00CB4EBD" w:rsidRPr="00CB4EBD">
        <w:rPr>
          <w:rFonts w:ascii="Arial" w:hAnsi="Arial" w:cs="Arial"/>
          <w:bCs/>
          <w:sz w:val="20"/>
          <w:szCs w:val="20"/>
          <w:lang w:val="en-GB"/>
        </w:rPr>
        <w:t>-Core</w:t>
      </w:r>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SimSun" w:hAnsi="Arial" w:cs="Arial"/>
          <w:bCs/>
          <w:sz w:val="20"/>
          <w:szCs w:val="20"/>
          <w:lang w:eastAsia="zh-CN"/>
        </w:rPr>
        <w:t>RAN</w:t>
      </w:r>
      <w:r w:rsidR="00B66C17">
        <w:rPr>
          <w:rFonts w:ascii="Arial" w:eastAsia="SimSun"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proofErr w:type="spellStart"/>
      <w:r w:rsidR="005E449E">
        <w:rPr>
          <w:rFonts w:ascii="Arial" w:hAnsi="Arial" w:cs="Arial"/>
          <w:sz w:val="20"/>
          <w:szCs w:val="20"/>
        </w:rPr>
        <w:t>Seungri</w:t>
      </w:r>
      <w:proofErr w:type="spellEnd"/>
      <w:r w:rsidR="005E449E">
        <w:rPr>
          <w:rFonts w:ascii="Arial" w:hAnsi="Arial" w:cs="Arial"/>
          <w:sz w:val="20"/>
          <w:szCs w:val="20"/>
        </w:rPr>
        <w:t xml:space="preserve">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Heading1"/>
        <w:numPr>
          <w:ilvl w:val="0"/>
          <w:numId w:val="0"/>
        </w:numPr>
        <w:spacing w:before="0" w:after="120"/>
        <w:jc w:val="both"/>
        <w:rPr>
          <w:rFonts w:ascii="Arial" w:eastAsia="SimSun" w:hAnsi="Arial" w:cs="Arial"/>
          <w:b/>
          <w:sz w:val="20"/>
          <w:szCs w:val="20"/>
        </w:rPr>
      </w:pPr>
      <w:r w:rsidRPr="00485BEE">
        <w:rPr>
          <w:rFonts w:ascii="Arial" w:eastAsia="SimSun"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DengXian" w:hAnsi="Arial" w:cs="Arial"/>
          <w:sz w:val="20"/>
          <w:szCs w:val="20"/>
          <w:lang w:eastAsia="zh-CN"/>
        </w:rPr>
      </w:pPr>
      <w:r w:rsidRPr="003E324C">
        <w:rPr>
          <w:rFonts w:ascii="Arial" w:eastAsia="DengXian" w:hAnsi="Arial" w:cs="Arial"/>
          <w:sz w:val="20"/>
          <w:szCs w:val="20"/>
          <w:lang w:eastAsia="zh-CN"/>
        </w:rPr>
        <w:t>RAN</w:t>
      </w:r>
      <w:r>
        <w:rPr>
          <w:rFonts w:ascii="Arial" w:eastAsia="DengXian" w:hAnsi="Arial" w:cs="Arial"/>
          <w:sz w:val="20"/>
          <w:szCs w:val="20"/>
          <w:lang w:eastAsia="zh-CN"/>
        </w:rPr>
        <w:t>2</w:t>
      </w:r>
      <w:r w:rsidRPr="003E324C">
        <w:rPr>
          <w:rFonts w:ascii="Arial" w:eastAsia="DengXian"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DengXian" w:hAnsi="Arial" w:cs="Arial"/>
          <w:sz w:val="20"/>
          <w:szCs w:val="20"/>
          <w:lang w:eastAsia="zh-CN"/>
        </w:rPr>
        <w:t xml:space="preserve"> </w:t>
      </w:r>
      <w:r w:rsidR="00322A7C">
        <w:rPr>
          <w:rFonts w:ascii="Arial" w:eastAsia="DengXian" w:hAnsi="Arial" w:cs="Arial"/>
          <w:sz w:val="20"/>
          <w:szCs w:val="20"/>
          <w:lang w:eastAsia="zh-CN"/>
        </w:rPr>
        <w:t>In RAN2#114</w:t>
      </w:r>
      <w:r w:rsidR="002B4A83">
        <w:rPr>
          <w:rFonts w:ascii="Arial" w:eastAsia="DengXian" w:hAnsi="Arial" w:cs="Arial"/>
          <w:sz w:val="20"/>
          <w:szCs w:val="20"/>
          <w:lang w:eastAsia="zh-CN"/>
        </w:rPr>
        <w:t>-</w:t>
      </w:r>
      <w:r w:rsidR="005A72CD">
        <w:rPr>
          <w:rFonts w:ascii="Arial" w:eastAsia="DengXian" w:hAnsi="Arial" w:cs="Arial"/>
          <w:sz w:val="20"/>
          <w:szCs w:val="20"/>
          <w:lang w:eastAsia="zh-CN"/>
        </w:rPr>
        <w:t>e</w:t>
      </w:r>
      <w:r w:rsidRPr="003E324C">
        <w:rPr>
          <w:rFonts w:ascii="Arial" w:eastAsia="DengXian" w:hAnsi="Arial" w:cs="Arial"/>
          <w:sz w:val="20"/>
          <w:szCs w:val="20"/>
          <w:lang w:eastAsia="zh-CN"/>
        </w:rPr>
        <w:t xml:space="preserve"> meeting, RAN</w:t>
      </w:r>
      <w:r w:rsidR="008950F5">
        <w:rPr>
          <w:rFonts w:ascii="Arial" w:eastAsia="DengXian" w:hAnsi="Arial" w:cs="Arial"/>
          <w:sz w:val="20"/>
          <w:szCs w:val="20"/>
          <w:lang w:eastAsia="zh-CN"/>
        </w:rPr>
        <w:t>2</w:t>
      </w:r>
      <w:r w:rsidRPr="003E324C">
        <w:rPr>
          <w:rFonts w:ascii="Arial" w:eastAsia="DengXian" w:hAnsi="Arial" w:cs="Arial"/>
          <w:sz w:val="20"/>
          <w:szCs w:val="20"/>
          <w:lang w:eastAsia="zh-CN"/>
        </w:rPr>
        <w:t xml:space="preserve"> has </w:t>
      </w:r>
      <w:r w:rsidR="00203656">
        <w:rPr>
          <w:rFonts w:ascii="Arial" w:eastAsia="DengXian" w:hAnsi="Arial" w:cs="Arial"/>
          <w:sz w:val="20"/>
          <w:szCs w:val="20"/>
          <w:lang w:eastAsia="zh-CN"/>
        </w:rPr>
        <w:t xml:space="preserve">started </w:t>
      </w:r>
      <w:r w:rsidRPr="003E324C">
        <w:rPr>
          <w:rFonts w:ascii="Arial" w:eastAsia="DengXian" w:hAnsi="Arial" w:cs="Arial"/>
          <w:sz w:val="20"/>
          <w:szCs w:val="20"/>
          <w:lang w:eastAsia="zh-CN"/>
        </w:rPr>
        <w:t>discuss</w:t>
      </w:r>
      <w:r w:rsidR="00203656">
        <w:rPr>
          <w:rFonts w:ascii="Arial" w:eastAsia="DengXian" w:hAnsi="Arial" w:cs="Arial"/>
          <w:sz w:val="20"/>
          <w:szCs w:val="20"/>
          <w:lang w:eastAsia="zh-CN"/>
        </w:rPr>
        <w:t>ion on</w:t>
      </w:r>
      <w:r w:rsidRPr="003E324C">
        <w:rPr>
          <w:rFonts w:ascii="Arial" w:eastAsia="DengXian" w:hAnsi="Arial" w:cs="Arial"/>
          <w:sz w:val="20"/>
          <w:szCs w:val="20"/>
          <w:lang w:eastAsia="zh-CN"/>
        </w:rPr>
        <w:t xml:space="preserve"> </w:t>
      </w:r>
      <w:r w:rsidR="00405075">
        <w:rPr>
          <w:rFonts w:ascii="Arial" w:eastAsia="DengXian" w:hAnsi="Arial" w:cs="Arial"/>
          <w:sz w:val="20"/>
          <w:szCs w:val="20"/>
          <w:lang w:eastAsia="zh-CN"/>
        </w:rPr>
        <w:t xml:space="preserve">the L1/L2 centric inter-cell mobility, especially </w:t>
      </w:r>
      <w:r w:rsidR="00121CB2">
        <w:rPr>
          <w:rFonts w:ascii="Arial" w:eastAsia="DengXian" w:hAnsi="Arial" w:cs="Arial"/>
          <w:sz w:val="20"/>
          <w:szCs w:val="20"/>
          <w:lang w:eastAsia="zh-CN"/>
        </w:rPr>
        <w:t xml:space="preserve">the </w:t>
      </w:r>
      <w:r w:rsidR="00405075">
        <w:rPr>
          <w:rFonts w:ascii="Arial" w:eastAsia="DengXian" w:hAnsi="Arial" w:cs="Arial"/>
          <w:sz w:val="20"/>
          <w:szCs w:val="20"/>
          <w:lang w:eastAsia="zh-CN"/>
        </w:rPr>
        <w:t xml:space="preserve">expected scenarios and RAN2 impacts, and made </w:t>
      </w:r>
      <w:r w:rsidR="00F2504A">
        <w:rPr>
          <w:rFonts w:ascii="Arial" w:eastAsia="DengXian" w:hAnsi="Arial" w:cs="Arial"/>
          <w:sz w:val="20"/>
          <w:szCs w:val="20"/>
          <w:lang w:eastAsia="zh-CN"/>
        </w:rPr>
        <w:t xml:space="preserve">the </w:t>
      </w:r>
      <w:r w:rsidR="00405075">
        <w:rPr>
          <w:rFonts w:ascii="Arial" w:eastAsia="DengXian"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w:t>
      </w:r>
      <w:proofErr w:type="spellStart"/>
      <w:r>
        <w:rPr>
          <w:lang w:eastAsia="zh-CN"/>
        </w:rPr>
        <w:t>incl</w:t>
      </w:r>
      <w:proofErr w:type="spellEnd"/>
      <w:r>
        <w:rPr>
          <w:lang w:eastAsia="zh-CN"/>
        </w:rPr>
        <w:t xml:space="preserve"> resources for </w:t>
      </w:r>
      <w:proofErr w:type="spellStart"/>
      <w:r>
        <w:rPr>
          <w:lang w:eastAsia="zh-CN"/>
        </w:rPr>
        <w:t>differet</w:t>
      </w:r>
      <w:proofErr w:type="spellEnd"/>
      <w:r>
        <w:rPr>
          <w:lang w:eastAsia="zh-CN"/>
        </w:rPr>
        <w:t xml:space="preserve">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w:t>
      </w:r>
      <w:proofErr w:type="spellStart"/>
      <w:r>
        <w:rPr>
          <w:lang w:eastAsia="zh-CN"/>
        </w:rPr>
        <w:t>signaling</w:t>
      </w:r>
      <w:proofErr w:type="spellEnd"/>
      <w:r>
        <w:rPr>
          <w:lang w:eastAsia="zh-CN"/>
        </w:rPr>
        <w:t xml:space="preserve">).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DengXian"/>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Based on the above reports, TCI states for cell with different PCI is activated along with the serving cell change (by L1/L2 </w:t>
      </w:r>
      <w:proofErr w:type="spellStart"/>
      <w:r>
        <w:rPr>
          <w:lang w:eastAsia="zh-CN"/>
        </w:rPr>
        <w:t>signaling</w:t>
      </w:r>
      <w:proofErr w:type="spellEnd"/>
      <w:r>
        <w:rPr>
          <w:lang w:eastAsia="zh-CN"/>
        </w:rPr>
        <w:t>).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 xml:space="preserve">R2 assumes for now that L1L2 mobility model includes </w:t>
      </w:r>
      <w:proofErr w:type="spellStart"/>
      <w:r>
        <w:rPr>
          <w:lang w:val="en-US"/>
        </w:rPr>
        <w:t>Pcell</w:t>
      </w:r>
      <w:proofErr w:type="spellEnd"/>
      <w:r>
        <w:rPr>
          <w:lang w:val="en-US"/>
        </w:rPr>
        <w:t xml:space="preserve"> mobility and possibly also </w:t>
      </w:r>
      <w:proofErr w:type="spellStart"/>
      <w:r>
        <w:rPr>
          <w:lang w:val="en-US"/>
        </w:rPr>
        <w:t>Scell</w:t>
      </w:r>
      <w:proofErr w:type="spellEnd"/>
      <w:r>
        <w:rPr>
          <w:lang w:val="en-US"/>
        </w:rPr>
        <w:t xml:space="preserve">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ListParagraph"/>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SimSun" w:hAnsi="Arial" w:cs="Arial"/>
          <w:sz w:val="20"/>
          <w:szCs w:val="20"/>
          <w:lang w:eastAsia="zh-CN"/>
        </w:rPr>
        <w:t xml:space="preserve">summarized two expected scenarios </w:t>
      </w:r>
      <w:r w:rsidR="0011780A">
        <w:rPr>
          <w:rFonts w:ascii="Arial" w:eastAsia="SimSun" w:hAnsi="Arial" w:cs="Arial"/>
          <w:sz w:val="20"/>
          <w:szCs w:val="20"/>
          <w:lang w:eastAsia="zh-CN"/>
        </w:rPr>
        <w:t xml:space="preserve">and corresponding models </w:t>
      </w:r>
      <w:r>
        <w:rPr>
          <w:rFonts w:ascii="Arial" w:eastAsia="SimSun" w:hAnsi="Arial" w:cs="Arial"/>
          <w:sz w:val="20"/>
          <w:szCs w:val="20"/>
          <w:lang w:eastAsia="zh-CN"/>
        </w:rPr>
        <w:t>(</w:t>
      </w:r>
      <w:r w:rsidRPr="00B332E8">
        <w:rPr>
          <w:rFonts w:ascii="Arial" w:eastAsia="SimSun" w:hAnsi="Arial" w:cs="Arial"/>
          <w:sz w:val="20"/>
          <w:szCs w:val="20"/>
          <w:lang w:eastAsia="zh-CN"/>
        </w:rPr>
        <w:t>Inter-cell multi-TRP-like model</w:t>
      </w:r>
      <w:r>
        <w:rPr>
          <w:rFonts w:ascii="Arial" w:eastAsia="SimSun" w:hAnsi="Arial" w:cs="Arial"/>
          <w:sz w:val="20"/>
          <w:szCs w:val="20"/>
          <w:lang w:eastAsia="zh-CN"/>
        </w:rPr>
        <w:t xml:space="preserve"> and </w:t>
      </w:r>
      <w:r w:rsidRPr="00B332E8">
        <w:rPr>
          <w:rFonts w:ascii="Arial" w:eastAsia="SimSun" w:hAnsi="Arial" w:cs="Arial"/>
          <w:sz w:val="20"/>
          <w:szCs w:val="20"/>
          <w:lang w:eastAsia="zh-CN"/>
        </w:rPr>
        <w:t>L1L2 mobility model</w:t>
      </w:r>
      <w:r>
        <w:rPr>
          <w:rFonts w:ascii="Arial" w:eastAsia="SimSun" w:hAnsi="Arial" w:cs="Arial"/>
          <w:sz w:val="20"/>
          <w:szCs w:val="20"/>
          <w:lang w:eastAsia="zh-CN"/>
        </w:rPr>
        <w:t>) with simplified procedures regarding L1/L2 centric inter-cell mobility</w:t>
      </w:r>
      <w:r w:rsidR="00BC3215">
        <w:rPr>
          <w:rFonts w:ascii="Arial" w:eastAsia="SimSun" w:hAnsi="Arial" w:cs="Arial"/>
          <w:sz w:val="20"/>
          <w:szCs w:val="20"/>
          <w:lang w:eastAsia="zh-CN"/>
        </w:rPr>
        <w:t xml:space="preserve"> (see above agreements)</w:t>
      </w:r>
      <w:r>
        <w:rPr>
          <w:rFonts w:ascii="Arial" w:eastAsia="SimSun"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SimSun" w:hAnsi="Arial" w:cs="Arial"/>
          <w:sz w:val="20"/>
          <w:szCs w:val="20"/>
          <w:lang w:eastAsia="zh-CN"/>
        </w:rPr>
      </w:pPr>
      <w:r w:rsidRPr="00264500">
        <w:rPr>
          <w:rFonts w:ascii="Arial" w:eastAsia="SimSun"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SimSun" w:hAnsi="Arial" w:cs="Arial"/>
          <w:sz w:val="20"/>
          <w:szCs w:val="20"/>
          <w:lang w:eastAsia="zh-CN"/>
        </w:rPr>
        <w:t>RAN2 believe</w:t>
      </w:r>
      <w:r w:rsidR="00723FD7">
        <w:rPr>
          <w:rFonts w:ascii="Arial" w:eastAsia="SimSun" w:hAnsi="Arial" w:cs="Arial"/>
          <w:sz w:val="20"/>
          <w:szCs w:val="20"/>
          <w:lang w:eastAsia="zh-CN"/>
        </w:rPr>
        <w:t>s</w:t>
      </w:r>
      <w:r>
        <w:rPr>
          <w:rFonts w:ascii="Arial" w:eastAsia="SimSun" w:hAnsi="Arial" w:cs="Arial"/>
          <w:sz w:val="20"/>
          <w:szCs w:val="20"/>
          <w:lang w:eastAsia="zh-CN"/>
        </w:rPr>
        <w:t xml:space="preserve"> this RAN2 understanding is helpful for RAN1 to </w:t>
      </w:r>
      <w:proofErr w:type="gramStart"/>
      <w:r>
        <w:rPr>
          <w:rFonts w:ascii="Arial" w:eastAsia="SimSun" w:hAnsi="Arial" w:cs="Arial"/>
          <w:sz w:val="20"/>
          <w:szCs w:val="20"/>
          <w:lang w:eastAsia="zh-CN"/>
        </w:rPr>
        <w:t>take</w:t>
      </w:r>
      <w:r w:rsidRPr="00263204">
        <w:rPr>
          <w:rFonts w:ascii="Arial" w:eastAsia="SimSun" w:hAnsi="Arial" w:cs="Arial"/>
          <w:sz w:val="20"/>
          <w:szCs w:val="20"/>
          <w:lang w:eastAsia="zh-CN"/>
        </w:rPr>
        <w:t xml:space="preserve"> into account</w:t>
      </w:r>
      <w:proofErr w:type="gramEnd"/>
      <w:r w:rsidRPr="00263204">
        <w:rPr>
          <w:rFonts w:ascii="Arial" w:eastAsia="SimSun" w:hAnsi="Arial" w:cs="Arial"/>
          <w:sz w:val="20"/>
          <w:szCs w:val="20"/>
          <w:lang w:eastAsia="zh-CN"/>
        </w:rPr>
        <w:t xml:space="preserve"> for future work</w:t>
      </w:r>
      <w:r>
        <w:rPr>
          <w:rFonts w:ascii="Arial" w:eastAsia="SimSun" w:hAnsi="Arial" w:cs="Arial"/>
          <w:sz w:val="20"/>
          <w:szCs w:val="20"/>
          <w:lang w:eastAsia="zh-CN"/>
        </w:rPr>
        <w:t>.</w:t>
      </w:r>
      <w:r w:rsidR="000E72BC">
        <w:rPr>
          <w:rFonts w:ascii="Arial" w:eastAsia="SimSun" w:hAnsi="Arial" w:cs="Arial"/>
          <w:sz w:val="20"/>
          <w:szCs w:val="20"/>
          <w:lang w:eastAsia="zh-CN"/>
        </w:rPr>
        <w:t xml:space="preserve"> In addition, RAN2 has a question </w:t>
      </w:r>
      <w:r w:rsidR="00F54C72">
        <w:rPr>
          <w:rFonts w:ascii="Arial" w:eastAsia="SimSun" w:hAnsi="Arial" w:cs="Arial"/>
          <w:sz w:val="20"/>
          <w:szCs w:val="20"/>
          <w:lang w:eastAsia="zh-CN"/>
        </w:rPr>
        <w:t xml:space="preserve">on measurements used for triggering </w:t>
      </w:r>
      <w:r w:rsidR="003654A1">
        <w:rPr>
          <w:rFonts w:ascii="Arial" w:eastAsia="SimSun" w:hAnsi="Arial" w:cs="Arial"/>
          <w:sz w:val="20"/>
          <w:szCs w:val="20"/>
          <w:lang w:eastAsia="zh-CN"/>
        </w:rPr>
        <w:t>L1/L2 centric inter-cell mobility</w:t>
      </w:r>
      <w:r w:rsidR="000E72BC">
        <w:rPr>
          <w:rFonts w:ascii="Arial" w:eastAsia="SimSun"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SimSun" w:hAnsi="Arial" w:cs="Arial"/>
          <w:b/>
          <w:sz w:val="20"/>
          <w:szCs w:val="20"/>
          <w:lang w:eastAsia="zh-CN"/>
        </w:rPr>
        <w:t>for triggering L1/L2 centric inter-cell mobility</w:t>
      </w:r>
      <w:r w:rsidR="00415B4D">
        <w:rPr>
          <w:rFonts w:ascii="Arial" w:eastAsia="SimSun" w:hAnsi="Arial" w:cs="Arial"/>
          <w:b/>
          <w:sz w:val="20"/>
          <w:szCs w:val="20"/>
          <w:lang w:eastAsia="zh-CN"/>
        </w:rPr>
        <w:t xml:space="preserve"> for Scenario 1 and/or Scenario</w:t>
      </w:r>
      <w:r w:rsidR="000C1843">
        <w:rPr>
          <w:rFonts w:ascii="Arial" w:eastAsia="SimSun"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 xml:space="preserve">2. Answers on </w:t>
      </w:r>
      <w:r w:rsidR="002B15EE">
        <w:rPr>
          <w:rFonts w:ascii="Arial" w:eastAsia="SimSun" w:hAnsi="Arial" w:cs="Arial"/>
          <w:b/>
          <w:sz w:val="20"/>
          <w:szCs w:val="20"/>
        </w:rPr>
        <w:t>questions from RAN1</w:t>
      </w:r>
    </w:p>
    <w:p w14:paraId="13E5773B" w14:textId="668EFEF8"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 xml:space="preserve">seems contradictory </w:t>
      </w:r>
      <w:ins w:id="0" w:author="Huawei (David Lecompte)" w:date="2021-05-31T10:16:00Z">
        <w:r w:rsidR="00D0370E">
          <w:rPr>
            <w:rFonts w:ascii="Arial" w:eastAsiaTheme="minorEastAsia" w:hAnsi="Arial" w:cs="Arial"/>
            <w:sz w:val="20"/>
            <w:szCs w:val="20"/>
          </w:rPr>
          <w:t xml:space="preserve">with respect </w:t>
        </w:r>
      </w:ins>
      <w:r w:rsidR="00121CB2">
        <w:rPr>
          <w:rFonts w:ascii="Arial" w:eastAsiaTheme="minorEastAsia" w:hAnsi="Arial" w:cs="Arial"/>
          <w:sz w:val="20"/>
          <w:szCs w:val="20"/>
        </w:rPr>
        <w:t>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this LS, we use the terms </w:t>
      </w:r>
      <w:r w:rsidRPr="001651FF">
        <w:rPr>
          <w:rFonts w:ascii="Arial" w:eastAsiaTheme="minorEastAsia" w:hAnsi="Arial" w:cs="Arial"/>
          <w:sz w:val="20"/>
          <w:szCs w:val="20"/>
        </w:rPr>
        <w:t>“</w:t>
      </w:r>
      <w:del w:id="1" w:author="Huawei (David Lecompte)" w:date="2021-05-31T10:16:00Z">
        <w:r w:rsidRPr="001651FF" w:rsidDel="00D0370E">
          <w:rPr>
            <w:rFonts w:ascii="Arial" w:eastAsiaTheme="minorEastAsia" w:hAnsi="Arial" w:cs="Arial"/>
            <w:sz w:val="20"/>
            <w:szCs w:val="20"/>
          </w:rPr>
          <w:delText xml:space="preserve">the </w:delText>
        </w:r>
      </w:del>
      <w:r w:rsidRPr="001651FF">
        <w:rPr>
          <w:rFonts w:ascii="Arial" w:eastAsiaTheme="minorEastAsia" w:hAnsi="Arial" w:cs="Arial"/>
          <w:sz w:val="20"/>
          <w:szCs w:val="20"/>
        </w:rPr>
        <w:t>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w:t>
      </w:r>
      <w:del w:id="2" w:author="Huawei (David Lecompte)" w:date="2021-05-31T10:17:00Z">
        <w:r w:rsidRPr="001651FF" w:rsidDel="00D0370E">
          <w:rPr>
            <w:rFonts w:ascii="Arial" w:hAnsi="Arial" w:cs="Arial"/>
            <w:sz w:val="20"/>
            <w:szCs w:val="20"/>
          </w:rPr>
          <w:delText xml:space="preserve">the </w:delText>
        </w:r>
      </w:del>
      <w:r w:rsidRPr="001651FF">
        <w:rPr>
          <w:rFonts w:ascii="Arial" w:hAnsi="Arial" w:cs="Arial"/>
          <w:sz w:val="20"/>
          <w:szCs w:val="20"/>
        </w:rPr>
        <w:t>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1</w:t>
      </w:r>
      <w:r w:rsidRPr="001651FF">
        <w:rPr>
          <w:rFonts w:eastAsia="SimSun"/>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76EA037E"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ins w:id="3" w:author="Huawei (David Lecompte)" w:date="2021-05-31T10:18:00Z">
        <w:r w:rsidR="00D0370E">
          <w:rPr>
            <w:rFonts w:eastAsia="Times New Roman"/>
            <w:sz w:val="20"/>
            <w:szCs w:val="20"/>
            <w:lang w:val="en-GB" w:eastAsia="zh-CN"/>
          </w:rPr>
          <w:t xml:space="preserve">a </w:t>
        </w:r>
      </w:ins>
      <w:r w:rsidR="00FB1F99">
        <w:rPr>
          <w:rFonts w:eastAsia="Times New Roman"/>
          <w:sz w:val="20"/>
          <w:szCs w:val="20"/>
          <w:lang w:val="fi-FI" w:eastAsia="zh-CN"/>
        </w:rPr>
        <w:t>"</w:t>
      </w:r>
      <w:del w:id="4" w:author="Huawei (David Lecompte)" w:date="2021-05-31T10:18:00Z">
        <w:r w:rsidR="002B15EE" w:rsidRPr="001651FF" w:rsidDel="00D0370E">
          <w:rPr>
            <w:rFonts w:eastAsia="Times New Roman"/>
            <w:sz w:val="20"/>
            <w:szCs w:val="20"/>
            <w:lang w:val="x-none" w:eastAsia="zh-CN"/>
          </w:rPr>
          <w:delText>the</w:delText>
        </w:r>
      </w:del>
      <w:r w:rsidR="002B15EE" w:rsidRPr="001651FF">
        <w:rPr>
          <w:rFonts w:eastAsia="Times New Roman"/>
          <w:sz w:val="20"/>
          <w:szCs w:val="20"/>
          <w:lang w:val="x-none" w:eastAsia="zh-CN"/>
        </w:rPr>
        <w:t xml:space="preserv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ins w:id="5" w:author="Huawei (David Lecompte)" w:date="2021-05-31T10:18:00Z">
        <w:r w:rsidR="00D0370E">
          <w:rPr>
            <w:rFonts w:eastAsia="Times New Roman"/>
            <w:sz w:val="20"/>
            <w:szCs w:val="20"/>
            <w:lang w:val="fi-FI" w:eastAsia="zh-CN"/>
          </w:rPr>
          <w:t xml:space="preserve">a </w:t>
        </w:r>
      </w:ins>
      <w:r w:rsidR="00FB1F99">
        <w:rPr>
          <w:rFonts w:eastAsia="Times New Roman"/>
          <w:sz w:val="20"/>
          <w:szCs w:val="20"/>
          <w:lang w:val="fi-FI" w:eastAsia="zh-CN"/>
        </w:rPr>
        <w:t>"</w:t>
      </w:r>
      <w:del w:id="6" w:author="Huawei (David Lecompte)" w:date="2021-05-31T10:18:00Z">
        <w:r w:rsidR="00203656" w:rsidDel="00D0370E">
          <w:rPr>
            <w:rFonts w:eastAsia="Times New Roman"/>
            <w:sz w:val="20"/>
            <w:szCs w:val="20"/>
            <w:lang w:val="fi-FI" w:eastAsia="zh-CN"/>
          </w:rPr>
          <w:delText xml:space="preserve">the </w:delText>
        </w:r>
      </w:del>
      <w:r w:rsidR="00203656">
        <w:rPr>
          <w:rFonts w:eastAsia="Times New Roman"/>
          <w:sz w:val="20"/>
          <w:szCs w:val="20"/>
          <w:lang w:val="fi-FI" w:eastAsia="zh-CN"/>
        </w:rPr>
        <w:t>cell for L1/L2 centric mobility</w:t>
      </w:r>
      <w:r w:rsidR="00A42E87">
        <w:rPr>
          <w:rFonts w:eastAsia="Times New Roman"/>
          <w:sz w:val="20"/>
          <w:szCs w:val="20"/>
          <w:lang w:val="fi-FI" w:eastAsia="zh-CN"/>
        </w:rPr>
        <w:t>"</w:t>
      </w:r>
      <w:r w:rsidRPr="001651FF">
        <w:rPr>
          <w:rFonts w:eastAsia="Times New Roman"/>
          <w:sz w:val="20"/>
          <w:szCs w:val="20"/>
          <w:lang w:val="x-none" w:eastAsia="zh-CN"/>
        </w:rPr>
        <w:t xml:space="preserve">, </w:t>
      </w:r>
      <w:ins w:id="7" w:author="Huawei (David Lecompte)" w:date="2021-05-31T10:18:00Z">
        <w:r w:rsidR="00D0370E">
          <w:rPr>
            <w:rFonts w:eastAsia="Times New Roman"/>
            <w:sz w:val="20"/>
            <w:szCs w:val="20"/>
            <w:lang w:val="en-GB" w:eastAsia="zh-CN"/>
          </w:rPr>
          <w:t xml:space="preserve">the </w:t>
        </w:r>
      </w:ins>
      <w:r w:rsidRPr="001651FF">
        <w:rPr>
          <w:rFonts w:eastAsia="Times New Roman"/>
          <w:sz w:val="20"/>
          <w:szCs w:val="20"/>
          <w:lang w:val="x-none" w:eastAsia="zh-CN"/>
        </w:rPr>
        <w:t>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 xml:space="preserve">In the </w:t>
      </w:r>
      <w:del w:id="8" w:author="Huawei (David Lecompte)" w:date="2021-05-31T10:19:00Z">
        <w:r w:rsidR="00A2051B" w:rsidRPr="00CC4E86" w:rsidDel="00D0370E">
          <w:rPr>
            <w:rFonts w:eastAsia="Times New Roman"/>
            <w:sz w:val="20"/>
            <w:szCs w:val="20"/>
            <w:lang w:val="x-none" w:eastAsia="zh-CN"/>
          </w:rPr>
          <w:delText xml:space="preserve">case of </w:delText>
        </w:r>
      </w:del>
      <w:r w:rsidR="00A2051B" w:rsidRPr="00CC4E86">
        <w:rPr>
          <w:rFonts w:eastAsia="Times New Roman"/>
          <w:sz w:val="20"/>
          <w:szCs w:val="20"/>
          <w:lang w:val="x-none" w:eastAsia="zh-CN"/>
        </w:rPr>
        <w:t>int</w:t>
      </w:r>
      <w:r w:rsidR="00A2051B">
        <w:rPr>
          <w:rFonts w:eastAsia="Times New Roman"/>
          <w:sz w:val="20"/>
          <w:szCs w:val="20"/>
          <w:lang w:val="x-none" w:eastAsia="zh-CN"/>
        </w:rPr>
        <w:t>er-cell mTRP like model (S</w:t>
      </w:r>
      <w:r w:rsidR="00A2051B" w:rsidRPr="00CC4E86">
        <w:rPr>
          <w:rFonts w:eastAsia="Times New Roman"/>
          <w:sz w:val="20"/>
          <w:szCs w:val="20"/>
          <w:lang w:val="x-none" w:eastAsia="zh-CN"/>
        </w:rPr>
        <w:t>cenario-1</w:t>
      </w:r>
      <w:ins w:id="9" w:author="Huawei (David Lecompte)" w:date="2021-05-31T10:19:00Z">
        <w:r w:rsidR="00D0370E">
          <w:rPr>
            <w:rFonts w:eastAsia="Times New Roman"/>
            <w:sz w:val="20"/>
            <w:szCs w:val="20"/>
            <w:lang w:val="en-GB" w:eastAsia="zh-CN"/>
          </w:rPr>
          <w:t xml:space="preserve"> </w:t>
        </w:r>
      </w:ins>
      <w:r w:rsidR="00A2051B" w:rsidRPr="00CC4E86">
        <w:rPr>
          <w:rFonts w:eastAsia="Times New Roman"/>
          <w:sz w:val="20"/>
          <w:szCs w:val="20"/>
          <w:lang w:val="x-none" w:eastAsia="zh-CN"/>
        </w:rPr>
        <w:t xml:space="preserve">of RAN2 agreements), </w:t>
      </w:r>
      <w:del w:id="10" w:author="MediaTek (Li-Chuan)" w:date="2021-06-01T10:51:00Z">
        <w:r w:rsidR="00A2051B" w:rsidRPr="00CC4E86" w:rsidDel="00B60905">
          <w:rPr>
            <w:rFonts w:eastAsia="Times New Roman"/>
            <w:sz w:val="20"/>
            <w:szCs w:val="20"/>
            <w:lang w:val="x-none" w:eastAsia="zh-CN"/>
          </w:rPr>
          <w:delText xml:space="preserve">the </w:delText>
        </w:r>
      </w:del>
      <w:commentRangeStart w:id="11"/>
      <w:r w:rsidR="00A2051B" w:rsidRPr="00CC4E86">
        <w:rPr>
          <w:rFonts w:eastAsia="Times New Roman"/>
          <w:sz w:val="20"/>
          <w:szCs w:val="20"/>
          <w:lang w:val="x-none" w:eastAsia="zh-CN"/>
        </w:rPr>
        <w:t xml:space="preserve">serving cell change is </w:t>
      </w:r>
      <w:del w:id="12" w:author="Nokia (Tero Henttonen)" w:date="2021-06-01T17:45:00Z">
        <w:r w:rsidR="00A2051B" w:rsidRPr="00CC4E86" w:rsidDel="00290D70">
          <w:rPr>
            <w:rFonts w:eastAsia="Times New Roman"/>
            <w:sz w:val="20"/>
            <w:szCs w:val="20"/>
            <w:lang w:val="x-none" w:eastAsia="zh-CN"/>
          </w:rPr>
          <w:delText xml:space="preserve">not </w:delText>
        </w:r>
        <w:r w:rsidR="00A2051B" w:rsidDel="00290D70">
          <w:rPr>
            <w:rFonts w:eastAsia="Times New Roman"/>
            <w:sz w:val="20"/>
            <w:szCs w:val="20"/>
            <w:lang w:val="x-none" w:eastAsia="zh-CN"/>
          </w:rPr>
          <w:delText>useful</w:delText>
        </w:r>
        <w:r w:rsidR="00C067BD" w:rsidRPr="00C067BD" w:rsidDel="00290D70">
          <w:delText xml:space="preserve"> </w:delText>
        </w:r>
        <w:r w:rsidR="00C067BD" w:rsidRPr="00C067BD" w:rsidDel="00290D70">
          <w:rPr>
            <w:rFonts w:eastAsia="Times New Roman"/>
            <w:sz w:val="20"/>
            <w:szCs w:val="20"/>
            <w:lang w:val="x-none" w:eastAsia="zh-CN"/>
          </w:rPr>
          <w:delText xml:space="preserve">hence </w:delText>
        </w:r>
      </w:del>
      <w:r w:rsidR="00C067BD" w:rsidRPr="00C067BD">
        <w:rPr>
          <w:rFonts w:eastAsia="Times New Roman"/>
          <w:sz w:val="20"/>
          <w:szCs w:val="20"/>
          <w:lang w:val="x-none" w:eastAsia="zh-CN"/>
        </w:rPr>
        <w:t>not required</w:t>
      </w:r>
      <w:r w:rsidR="00A2051B" w:rsidRPr="00CC4E86">
        <w:rPr>
          <w:rFonts w:eastAsia="Times New Roman"/>
          <w:sz w:val="20"/>
          <w:szCs w:val="20"/>
          <w:lang w:val="x-none" w:eastAsia="zh-CN"/>
        </w:rPr>
        <w:t xml:space="preserve"> </w:t>
      </w:r>
      <w:commentRangeEnd w:id="11"/>
      <w:r w:rsidR="00290D70">
        <w:rPr>
          <w:rStyle w:val="CommentReference"/>
        </w:rPr>
        <w:commentReference w:id="11"/>
      </w:r>
      <w:r w:rsidR="00A2051B" w:rsidRPr="00CC4E86">
        <w:rPr>
          <w:rFonts w:eastAsia="Times New Roman"/>
          <w:sz w:val="20"/>
          <w:szCs w:val="20"/>
          <w:lang w:val="x-none" w:eastAsia="zh-CN"/>
        </w:rPr>
        <w:t>whereas in th</w:t>
      </w:r>
      <w:r w:rsidR="00A2051B">
        <w:rPr>
          <w:rFonts w:eastAsia="Times New Roman"/>
          <w:sz w:val="20"/>
          <w:szCs w:val="20"/>
          <w:lang w:val="x-none" w:eastAsia="zh-CN"/>
        </w:rPr>
        <w:t xml:space="preserve">e </w:t>
      </w:r>
      <w:del w:id="13" w:author="Huawei (David Lecompte)" w:date="2021-05-31T10:19:00Z">
        <w:r w:rsidR="00A2051B" w:rsidDel="00D0370E">
          <w:rPr>
            <w:rFonts w:eastAsia="Times New Roman"/>
            <w:sz w:val="20"/>
            <w:szCs w:val="20"/>
            <w:lang w:val="x-none" w:eastAsia="zh-CN"/>
          </w:rPr>
          <w:delText xml:space="preserve">case of </w:delText>
        </w:r>
      </w:del>
      <w:r w:rsidR="00A2051B">
        <w:rPr>
          <w:rFonts w:eastAsia="Times New Roman"/>
          <w:sz w:val="20"/>
          <w:szCs w:val="20"/>
          <w:lang w:val="x-none" w:eastAsia="zh-CN"/>
        </w:rPr>
        <w:t>L1</w:t>
      </w:r>
      <w:ins w:id="14" w:author="Huawei (David Lecompte)" w:date="2021-05-31T10:19:00Z">
        <w:r w:rsidR="00D0370E">
          <w:rPr>
            <w:rFonts w:eastAsia="Times New Roman"/>
            <w:sz w:val="20"/>
            <w:szCs w:val="20"/>
            <w:lang w:val="en-GB" w:eastAsia="zh-CN"/>
          </w:rPr>
          <w:t>/</w:t>
        </w:r>
      </w:ins>
      <w:r w:rsidR="00A2051B">
        <w:rPr>
          <w:rFonts w:eastAsia="Times New Roman"/>
          <w:sz w:val="20"/>
          <w:szCs w:val="20"/>
          <w:lang w:val="x-none" w:eastAsia="zh-CN"/>
        </w:rPr>
        <w:t>L2 mobility model (S</w:t>
      </w:r>
      <w:r w:rsidR="00A2051B" w:rsidRPr="00CC4E86">
        <w:rPr>
          <w:rFonts w:eastAsia="Times New Roman"/>
          <w:sz w:val="20"/>
          <w:szCs w:val="20"/>
          <w:lang w:val="x-none" w:eastAsia="zh-CN"/>
        </w:rPr>
        <w:t xml:space="preserve">cenario-2 of RAN2 agreements), </w:t>
      </w:r>
      <w:del w:id="15" w:author="MediaTek (Li-Chuan)" w:date="2021-06-01T10:52:00Z">
        <w:r w:rsidR="00A2051B" w:rsidRPr="00CC4E86" w:rsidDel="00B60905">
          <w:rPr>
            <w:rFonts w:eastAsia="Times New Roman"/>
            <w:sz w:val="20"/>
            <w:szCs w:val="20"/>
            <w:lang w:val="x-none" w:eastAsia="zh-CN"/>
          </w:rPr>
          <w:delText>the</w:delText>
        </w:r>
      </w:del>
      <w:r w:rsidR="00A2051B" w:rsidRPr="00CC4E86">
        <w:rPr>
          <w:rFonts w:eastAsia="Times New Roman"/>
          <w:sz w:val="20"/>
          <w:szCs w:val="20"/>
          <w:lang w:val="x-none" w:eastAsia="zh-CN"/>
        </w:rPr>
        <w:t xml:space="preserve"> serving cell change is required</w:t>
      </w:r>
      <w:ins w:id="16" w:author="Nokia (Tero Henttonen)" w:date="2021-06-01T17:51:00Z">
        <w:r w:rsidR="00290D70">
          <w:rPr>
            <w:rFonts w:eastAsia="Times New Roman"/>
            <w:sz w:val="20"/>
            <w:szCs w:val="20"/>
            <w:lang w:val="fi-FI" w:eastAsia="zh-CN"/>
          </w:rPr>
          <w:t xml:space="preserve"> </w:t>
        </w:r>
        <w:commentRangeStart w:id="17"/>
        <w:r w:rsidR="00290D70">
          <w:rPr>
            <w:rFonts w:eastAsia="Times New Roman"/>
            <w:sz w:val="20"/>
            <w:szCs w:val="20"/>
            <w:lang w:val="fi-FI" w:eastAsia="zh-CN"/>
          </w:rPr>
          <w:t>(please see the simplified procedure in above RAN2 agreement)</w:t>
        </w:r>
        <w:commentRangeEnd w:id="17"/>
        <w:r w:rsidR="00290D70">
          <w:rPr>
            <w:rStyle w:val="CommentReference"/>
          </w:rPr>
          <w:commentReference w:id="17"/>
        </w:r>
      </w:ins>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40844AAC"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RRC provides the pre-configuration</w:t>
      </w:r>
      <w:ins w:id="18" w:author="MediaTek (Li-Chuan)" w:date="2021-06-01T10:52:00Z">
        <w:r w:rsidR="00B60905">
          <w:rPr>
            <w:sz w:val="20"/>
            <w:szCs w:val="20"/>
          </w:rPr>
          <w:t>s</w:t>
        </w:r>
      </w:ins>
      <w:r w:rsidR="000A3E58" w:rsidRPr="001651FF">
        <w:rPr>
          <w:sz w:val="20"/>
          <w:szCs w:val="20"/>
        </w:rPr>
        <w:t xml:space="preserve"> </w:t>
      </w:r>
      <w:r w:rsidR="00AA1F1F">
        <w:rPr>
          <w:sz w:val="20"/>
          <w:szCs w:val="20"/>
        </w:rPr>
        <w:t xml:space="preserve">(i.e. addition, </w:t>
      </w:r>
      <w:proofErr w:type="gramStart"/>
      <w:r w:rsidR="00AA1F1F">
        <w:rPr>
          <w:sz w:val="20"/>
          <w:szCs w:val="20"/>
        </w:rPr>
        <w:t>release</w:t>
      </w:r>
      <w:proofErr w:type="gramEnd"/>
      <w:r w:rsidR="00AA1F1F">
        <w:rPr>
          <w:sz w:val="20"/>
          <w:szCs w:val="20"/>
        </w:rPr>
        <w:t xml:space="preserve"> or </w:t>
      </w:r>
      <w:commentRangeStart w:id="19"/>
      <w:r w:rsidR="00AA1F1F">
        <w:rPr>
          <w:sz w:val="20"/>
          <w:szCs w:val="20"/>
        </w:rPr>
        <w:t>change</w:t>
      </w:r>
      <w:commentRangeEnd w:id="19"/>
      <w:r w:rsidR="00137919">
        <w:rPr>
          <w:rStyle w:val="CommentReference"/>
        </w:rPr>
        <w:commentReference w:id="19"/>
      </w:r>
      <w:r w:rsidR="00AA1F1F">
        <w:rPr>
          <w:sz w:val="20"/>
          <w:szCs w:val="20"/>
        </w:rPr>
        <w:t xml:space="preserve">) </w:t>
      </w:r>
      <w:r w:rsidR="000A3E58" w:rsidRPr="001651FF">
        <w:rPr>
          <w:sz w:val="20"/>
          <w:szCs w:val="20"/>
        </w:rPr>
        <w:t xml:space="preserve">for </w:t>
      </w:r>
      <w:ins w:id="20" w:author="Huawei (David Lecompte)" w:date="2021-05-31T10:20:00Z">
        <w:r w:rsidR="00D0370E">
          <w:rPr>
            <w:sz w:val="20"/>
            <w:szCs w:val="20"/>
          </w:rPr>
          <w:t xml:space="preserve">the </w:t>
        </w:r>
      </w:ins>
      <w:r w:rsidR="000A3E58" w:rsidRPr="001651FF">
        <w:rPr>
          <w:sz w:val="20"/>
          <w:szCs w:val="20"/>
        </w:rPr>
        <w:t>“</w:t>
      </w:r>
      <w:del w:id="21" w:author="Huawei (David Lecompte)" w:date="2021-05-31T10:20:00Z">
        <w:r w:rsidR="000A3E58" w:rsidRPr="001651FF" w:rsidDel="00D0370E">
          <w:rPr>
            <w:sz w:val="20"/>
            <w:szCs w:val="20"/>
          </w:rPr>
          <w:delText xml:space="preserve">the </w:delText>
        </w:r>
      </w:del>
      <w:r w:rsidR="000A3E58" w:rsidRPr="001651FF">
        <w:rPr>
          <w:sz w:val="20"/>
          <w:szCs w:val="20"/>
        </w:rPr>
        <w:t xml:space="preserve">cells for L1/L2 centric mobility”, and L1/L2 signaling </w:t>
      </w:r>
      <w:ins w:id="22" w:author="Huawei (David Lecompte)" w:date="2021-05-31T10:22:00Z">
        <w:r w:rsidR="00D0370E">
          <w:rPr>
            <w:sz w:val="20"/>
            <w:szCs w:val="20"/>
          </w:rPr>
          <w:t>can</w:t>
        </w:r>
      </w:ins>
      <w:del w:id="23" w:author="Huawei (David Lecompte)" w:date="2021-05-31T10:22:00Z">
        <w:r w:rsidR="000A3E58" w:rsidRPr="001651FF" w:rsidDel="00D0370E">
          <w:rPr>
            <w:sz w:val="20"/>
            <w:szCs w:val="20"/>
          </w:rPr>
          <w:delText>c</w:delText>
        </w:r>
        <w:r w:rsidR="00AA1F1F" w:rsidDel="00D0370E">
          <w:rPr>
            <w:sz w:val="20"/>
            <w:szCs w:val="20"/>
          </w:rPr>
          <w:delText>ould</w:delText>
        </w:r>
      </w:del>
      <w:r w:rsidR="000A3E58" w:rsidRPr="001651FF">
        <w:rPr>
          <w:sz w:val="20"/>
          <w:szCs w:val="20"/>
        </w:rPr>
        <w:t xml:space="preserve"> be used for switching </w:t>
      </w:r>
      <w:r w:rsidR="00AA1F1F">
        <w:rPr>
          <w:sz w:val="20"/>
          <w:szCs w:val="20"/>
        </w:rPr>
        <w:t xml:space="preserve">between </w:t>
      </w:r>
      <w:commentRangeStart w:id="24"/>
      <w:ins w:id="25" w:author="Huawei (David Lecompte)" w:date="2021-05-31T10:22:00Z">
        <w:r w:rsidR="00D0370E">
          <w:rPr>
            <w:sz w:val="20"/>
            <w:szCs w:val="20"/>
          </w:rPr>
          <w:t>pre-</w:t>
        </w:r>
        <w:commentRangeEnd w:id="24"/>
        <w:r w:rsidR="00D0370E">
          <w:rPr>
            <w:rStyle w:val="CommentReference"/>
          </w:rPr>
          <w:commentReference w:id="24"/>
        </w:r>
      </w:ins>
      <w:r w:rsidR="00AA1F1F">
        <w:rPr>
          <w:sz w:val="20"/>
          <w:szCs w:val="20"/>
        </w:rPr>
        <w:t>configured cells</w:t>
      </w:r>
      <w:r w:rsidR="000A3E58" w:rsidRPr="001651FF">
        <w:rPr>
          <w:sz w:val="20"/>
          <w:szCs w:val="20"/>
        </w:rPr>
        <w:t>.</w:t>
      </w:r>
      <w:r w:rsidR="00AE2EC9" w:rsidRPr="001651FF">
        <w:rPr>
          <w:sz w:val="20"/>
          <w:szCs w:val="20"/>
        </w:rPr>
        <w:t xml:space="preserve"> </w:t>
      </w:r>
      <w:commentRangeStart w:id="26"/>
      <w:commentRangeStart w:id="27"/>
      <w:commentRangeStart w:id="28"/>
      <w:commentRangeStart w:id="29"/>
      <w:commentRangeStart w:id="30"/>
      <w:r w:rsidR="00711F0E">
        <w:rPr>
          <w:sz w:val="20"/>
          <w:szCs w:val="20"/>
        </w:rPr>
        <w:t xml:space="preserve">For </w:t>
      </w:r>
      <w:r w:rsidR="0026314A">
        <w:rPr>
          <w:sz w:val="20"/>
          <w:szCs w:val="20"/>
        </w:rPr>
        <w:t>S</w:t>
      </w:r>
      <w:r w:rsidR="00711F0E">
        <w:rPr>
          <w:sz w:val="20"/>
          <w:szCs w:val="20"/>
        </w:rPr>
        <w:t xml:space="preserve">cenario 1, the </w:t>
      </w:r>
      <w:r w:rsidR="00711F0E" w:rsidRPr="00711F0E">
        <w:rPr>
          <w:sz w:val="20"/>
          <w:szCs w:val="20"/>
        </w:rPr>
        <w:t>UE should be in coverage of a serving cell always</w:t>
      </w:r>
      <w:r w:rsidR="00711F0E">
        <w:rPr>
          <w:sz w:val="20"/>
          <w:szCs w:val="20"/>
        </w:rPr>
        <w:t xml:space="preserve"> (i.e. without serving cell change).</w:t>
      </w:r>
      <w:commentRangeEnd w:id="26"/>
      <w:r w:rsidR="00D0370E">
        <w:rPr>
          <w:rStyle w:val="CommentReference"/>
        </w:rPr>
        <w:commentReference w:id="26"/>
      </w:r>
      <w:commentRangeEnd w:id="27"/>
      <w:r w:rsidR="00B60905">
        <w:rPr>
          <w:rStyle w:val="CommentReference"/>
        </w:rPr>
        <w:commentReference w:id="27"/>
      </w:r>
      <w:commentRangeEnd w:id="28"/>
      <w:r w:rsidR="00290D70">
        <w:rPr>
          <w:rStyle w:val="CommentReference"/>
        </w:rPr>
        <w:commentReference w:id="28"/>
      </w:r>
      <w:commentRangeEnd w:id="29"/>
      <w:r w:rsidR="00137919">
        <w:rPr>
          <w:rStyle w:val="CommentReference"/>
        </w:rPr>
        <w:commentReference w:id="29"/>
      </w:r>
      <w:commentRangeEnd w:id="30"/>
      <w:r w:rsidR="00867C07">
        <w:rPr>
          <w:rStyle w:val="CommentReference"/>
        </w:rPr>
        <w:commentReference w:id="30"/>
      </w:r>
      <w:r w:rsidR="00711F0E" w:rsidRPr="00711F0E" w:rsidDel="00203656">
        <w:rPr>
          <w:sz w:val="20"/>
          <w:szCs w:val="20"/>
        </w:rPr>
        <w:t xml:space="preserve"> </w:t>
      </w:r>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72B25440" w:rsidR="004F5FD2" w:rsidRPr="001651FF" w:rsidRDefault="006E0637" w:rsidP="00C067BD">
      <w:pPr>
        <w:pStyle w:val="ListParagraph"/>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lastRenderedPageBreak/>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w:t>
      </w:r>
      <w:ins w:id="31" w:author="MediaTek (Li-Chuan)" w:date="2021-06-01T10:55:00Z">
        <w:r w:rsidR="00B60905">
          <w:rPr>
            <w:rFonts w:eastAsiaTheme="minorEastAsia"/>
            <w:sz w:val="20"/>
            <w:szCs w:val="20"/>
            <w:lang w:val="fi-FI"/>
          </w:rPr>
          <w:t>-</w:t>
        </w:r>
      </w:ins>
      <w:r w:rsidR="00CA1F2C">
        <w:rPr>
          <w:rFonts w:eastAsiaTheme="minorEastAsia"/>
          <w:sz w:val="20"/>
          <w:szCs w:val="20"/>
          <w:lang w:val="fi-FI"/>
        </w:rPr>
        <w:t>configuration</w:t>
      </w:r>
      <w:ins w:id="32" w:author="MediaTek (Li-Chuan)" w:date="2021-06-01T10:55:00Z">
        <w:r w:rsidR="00B60905">
          <w:rPr>
            <w:rFonts w:eastAsiaTheme="minorEastAsia"/>
            <w:sz w:val="20"/>
            <w:szCs w:val="20"/>
            <w:lang w:val="fi-FI"/>
          </w:rPr>
          <w:t>s</w:t>
        </w:r>
      </w:ins>
      <w:r w:rsidR="00CA1F2C">
        <w:rPr>
          <w:rFonts w:eastAsiaTheme="minorEastAsia"/>
          <w:sz w:val="20"/>
          <w:szCs w:val="20"/>
          <w:lang w:val="fi-FI"/>
        </w:rPr>
        <w:t>.</w:t>
      </w:r>
      <w:r w:rsidR="005F1471" w:rsidRPr="001651FF">
        <w:rPr>
          <w:rFonts w:eastAsiaTheme="minorEastAsia"/>
          <w:sz w:val="20"/>
          <w:szCs w:val="20"/>
          <w:lang w:val="x-none"/>
        </w:rPr>
        <w:t xml:space="preserve"> </w:t>
      </w:r>
      <w:r w:rsidR="00C067BD" w:rsidRPr="00C067BD">
        <w:rPr>
          <w:rFonts w:eastAsiaTheme="minorEastAsia"/>
          <w:sz w:val="20"/>
          <w:szCs w:val="20"/>
          <w:lang w:val="x-none"/>
        </w:rPr>
        <w:t>After the serving cell change</w:t>
      </w:r>
      <w:ins w:id="33" w:author="MediaTek (Li-Chuan)" w:date="2021-06-01T10:55:00Z">
        <w:r w:rsidR="00B60905">
          <w:rPr>
            <w:rFonts w:eastAsiaTheme="minorEastAsia"/>
            <w:sz w:val="20"/>
            <w:szCs w:val="20"/>
            <w:lang w:val="x-none"/>
          </w:rPr>
          <w:t>s</w:t>
        </w:r>
      </w:ins>
      <w:ins w:id="34" w:author="Xiaomi" w:date="2021-06-01T17:50:00Z">
        <w:r w:rsidR="0022739C">
          <w:rPr>
            <w:rFonts w:eastAsiaTheme="minorEastAsia"/>
            <w:sz w:val="20"/>
            <w:szCs w:val="20"/>
            <w:lang w:val="x-none"/>
          </w:rPr>
          <w:t xml:space="preserve"> </w:t>
        </w:r>
        <w:commentRangeStart w:id="35"/>
        <w:commentRangeStart w:id="36"/>
        <w:commentRangeStart w:id="37"/>
        <w:commentRangeStart w:id="38"/>
        <w:r w:rsidR="0022739C">
          <w:rPr>
            <w:rFonts w:eastAsiaTheme="minorEastAsia"/>
            <w:sz w:val="20"/>
            <w:szCs w:val="20"/>
            <w:lang w:val="x-none"/>
          </w:rPr>
          <w:t>for Scenario 2</w:t>
        </w:r>
      </w:ins>
      <w:commentRangeEnd w:id="35"/>
      <w:ins w:id="39" w:author="Xiaomi" w:date="2021-06-01T17:51:00Z">
        <w:r w:rsidR="00765139">
          <w:rPr>
            <w:rStyle w:val="CommentReference"/>
          </w:rPr>
          <w:commentReference w:id="35"/>
        </w:r>
      </w:ins>
      <w:commentRangeEnd w:id="36"/>
      <w:r w:rsidR="00290D70">
        <w:rPr>
          <w:rStyle w:val="CommentReference"/>
        </w:rPr>
        <w:commentReference w:id="36"/>
      </w:r>
      <w:commentRangeEnd w:id="37"/>
      <w:r w:rsidR="00137919">
        <w:rPr>
          <w:rStyle w:val="CommentReference"/>
        </w:rPr>
        <w:commentReference w:id="37"/>
      </w:r>
      <w:commentRangeEnd w:id="38"/>
      <w:r w:rsidR="00867C07">
        <w:rPr>
          <w:rStyle w:val="CommentReference"/>
        </w:rPr>
        <w:commentReference w:id="38"/>
      </w:r>
      <w:r w:rsidR="00C067BD" w:rsidRPr="00C067BD">
        <w:rPr>
          <w:rFonts w:eastAsiaTheme="minorEastAsia"/>
          <w:sz w:val="20"/>
          <w:szCs w:val="20"/>
          <w:lang w:val="x-none"/>
        </w:rPr>
        <w:t>, RAN2 assumes the UE</w:t>
      </w:r>
      <w:ins w:id="40" w:author="MediaTek (Li-Chuan)" w:date="2021-06-01T10:55:00Z">
        <w:r w:rsidR="00B60905">
          <w:rPr>
            <w:rFonts w:eastAsiaTheme="minorEastAsia"/>
            <w:sz w:val="20"/>
            <w:szCs w:val="20"/>
            <w:lang w:val="x-none"/>
          </w:rPr>
          <w:t>,</w:t>
        </w:r>
      </w:ins>
      <w:r w:rsidR="00C067BD" w:rsidRPr="00C067BD">
        <w:rPr>
          <w:rFonts w:eastAsiaTheme="minorEastAsia"/>
          <w:sz w:val="20"/>
          <w:szCs w:val="20"/>
          <w:lang w:val="x-none"/>
        </w:rPr>
        <w:t xml:space="preserve"> </w:t>
      </w:r>
      <w:r w:rsidR="00122CA7">
        <w:rPr>
          <w:rFonts w:eastAsiaTheme="minorEastAsia"/>
          <w:sz w:val="20"/>
          <w:szCs w:val="20"/>
          <w:lang w:val="x-none"/>
        </w:rPr>
        <w:t>if needed</w:t>
      </w:r>
      <w:ins w:id="41" w:author="MediaTek (Li-Chuan)" w:date="2021-06-01T10:55:00Z">
        <w:r w:rsidR="00B60905">
          <w:rPr>
            <w:rFonts w:eastAsiaTheme="minorEastAsia"/>
            <w:sz w:val="20"/>
            <w:szCs w:val="20"/>
            <w:lang w:val="x-none"/>
          </w:rPr>
          <w:t>,</w:t>
        </w:r>
      </w:ins>
      <w:r w:rsidR="00122CA7">
        <w:rPr>
          <w:rFonts w:eastAsiaTheme="minorEastAsia"/>
          <w:sz w:val="20"/>
          <w:szCs w:val="20"/>
          <w:lang w:val="x-none"/>
        </w:rPr>
        <w:t xml:space="preserve"> </w:t>
      </w:r>
      <w:r w:rsidR="00C067BD" w:rsidRPr="00C067BD">
        <w:rPr>
          <w:rFonts w:eastAsiaTheme="minorEastAsia"/>
          <w:sz w:val="20"/>
          <w:szCs w:val="20"/>
          <w:lang w:val="x-none"/>
        </w:rPr>
        <w:t>could keep the configuration</w:t>
      </w:r>
      <w:ins w:id="42" w:author="MediaTek (Li-Chuan)" w:date="2021-06-01T10:55:00Z">
        <w:r w:rsidR="00B60905">
          <w:rPr>
            <w:rFonts w:eastAsiaTheme="minorEastAsia"/>
            <w:sz w:val="20"/>
            <w:szCs w:val="20"/>
            <w:lang w:val="x-none"/>
          </w:rPr>
          <w:t>s</w:t>
        </w:r>
      </w:ins>
      <w:r w:rsidR="00C067BD" w:rsidRPr="00C067BD">
        <w:rPr>
          <w:rFonts w:eastAsiaTheme="minorEastAsia"/>
          <w:sz w:val="20"/>
          <w:szCs w:val="20"/>
          <w:lang w:val="x-none"/>
        </w:rPr>
        <w:t xml:space="preserve"> of previous serving cell</w:t>
      </w:r>
      <w:ins w:id="43"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including TCI state related information</w:t>
      </w:r>
      <w:ins w:id="44" w:author="MediaTek (Li-Chuan)" w:date="2021-06-01T10:56:00Z">
        <w:r w:rsidR="00B60905">
          <w:rPr>
            <w:rFonts w:eastAsiaTheme="minorEastAsia"/>
            <w:sz w:val="20"/>
            <w:szCs w:val="20"/>
            <w:lang w:val="x-none"/>
          </w:rPr>
          <w:t>,</w:t>
        </w:r>
      </w:ins>
      <w:r w:rsidR="00C067BD" w:rsidRPr="00C067BD">
        <w:rPr>
          <w:rFonts w:eastAsiaTheme="minorEastAsia"/>
          <w:sz w:val="20"/>
          <w:szCs w:val="20"/>
          <w:lang w:val="x-none"/>
        </w:rPr>
        <w:t xml:space="preserve"> but it is not clear how to handle TCI state.</w:t>
      </w:r>
    </w:p>
    <w:p w14:paraId="33D92280" w14:textId="77777777" w:rsidR="006E0637" w:rsidRPr="001651FF" w:rsidRDefault="006E0637" w:rsidP="006E0637">
      <w:pPr>
        <w:snapToGrid w:val="0"/>
        <w:ind w:left="360"/>
        <w:contextualSpacing/>
        <w:jc w:val="both"/>
        <w:rPr>
          <w:rFonts w:eastAsia="DengXian"/>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6F81404A"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ins w:id="45" w:author="Huawei (David Lecompte)" w:date="2021-05-31T10:23:00Z">
        <w:r w:rsidR="00D0370E">
          <w:rPr>
            <w:rFonts w:eastAsia="Times New Roman"/>
            <w:sz w:val="20"/>
            <w:szCs w:val="20"/>
            <w:lang w:val="en-GB" w:eastAsia="zh-CN"/>
          </w:rPr>
          <w:t xml:space="preserve">The </w:t>
        </w:r>
      </w:ins>
      <w:r w:rsidR="00CA1F2C">
        <w:rPr>
          <w:rFonts w:eastAsia="Times New Roman"/>
          <w:sz w:val="20"/>
          <w:szCs w:val="20"/>
          <w:lang w:val="fi-FI" w:eastAsia="zh-CN"/>
        </w:rPr>
        <w:t xml:space="preserve">UE is only required to monitor system information on </w:t>
      </w:r>
      <w:ins w:id="46" w:author="Ozcan Ozturk" w:date="2021-06-01T08:52:00Z">
        <w:r w:rsidR="00137919">
          <w:rPr>
            <w:rFonts w:eastAsia="Times New Roman"/>
            <w:sz w:val="20"/>
            <w:szCs w:val="20"/>
            <w:lang w:val="fi-FI" w:eastAsia="zh-CN"/>
          </w:rPr>
          <w:t>the</w:t>
        </w:r>
      </w:ins>
      <w:ins w:id="47" w:author="Ozcan Ozturk" w:date="2021-06-01T08:53:00Z">
        <w:r w:rsidR="00137919">
          <w:rPr>
            <w:rFonts w:eastAsia="Times New Roman"/>
            <w:sz w:val="20"/>
            <w:szCs w:val="20"/>
            <w:lang w:val="fi-FI" w:eastAsia="zh-CN"/>
          </w:rPr>
          <w:t xml:space="preserve"> </w:t>
        </w:r>
      </w:ins>
      <w:r w:rsidR="00CA1F2C">
        <w:rPr>
          <w:rFonts w:eastAsia="Times New Roman"/>
          <w:sz w:val="20"/>
          <w:szCs w:val="20"/>
          <w:lang w:val="fi-FI" w:eastAsia="zh-CN"/>
        </w:rPr>
        <w:t>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xml:space="preserve">: for all other cells, common </w:t>
      </w:r>
      <w:ins w:id="48" w:author="Huawei (David Lecompte)" w:date="2021-05-31T10:24:00Z">
        <w:r w:rsidR="009A03A0">
          <w:rPr>
            <w:rFonts w:eastAsia="Times New Roman"/>
            <w:sz w:val="20"/>
            <w:szCs w:val="20"/>
            <w:lang w:val="fi-FI" w:eastAsia="zh-CN"/>
          </w:rPr>
          <w:t>configuration</w:t>
        </w:r>
      </w:ins>
      <w:ins w:id="49" w:author="Huawei (David Lecompte)" w:date="2021-05-31T10:25:00Z">
        <w:r w:rsidR="009A03A0">
          <w:rPr>
            <w:rFonts w:eastAsia="Times New Roman"/>
            <w:sz w:val="20"/>
            <w:szCs w:val="20"/>
            <w:lang w:val="fi-FI" w:eastAsia="zh-CN"/>
          </w:rPr>
          <w:t xml:space="preserve"> (as in system </w:t>
        </w:r>
      </w:ins>
      <w:r w:rsidR="00F76F66">
        <w:rPr>
          <w:rFonts w:eastAsia="Times New Roman"/>
          <w:sz w:val="20"/>
          <w:szCs w:val="20"/>
          <w:lang w:val="fi-FI" w:eastAsia="zh-CN"/>
        </w:rPr>
        <w:t>information</w:t>
      </w:r>
      <w:ins w:id="50" w:author="Huawei (David Lecompte)" w:date="2021-05-31T10:25:00Z">
        <w:r w:rsidR="009A03A0">
          <w:rPr>
            <w:rFonts w:eastAsia="Times New Roman"/>
            <w:sz w:val="20"/>
            <w:szCs w:val="20"/>
            <w:lang w:val="fi-FI" w:eastAsia="zh-CN"/>
          </w:rPr>
          <w:t>)</w:t>
        </w:r>
      </w:ins>
      <w:r w:rsidR="00F76F66">
        <w:rPr>
          <w:rFonts w:eastAsia="Times New Roman"/>
          <w:sz w:val="20"/>
          <w:szCs w:val="20"/>
          <w:lang w:val="fi-FI" w:eastAsia="zh-CN"/>
        </w:rPr>
        <w:t xml:space="preserve">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681746F" w:rsidR="00E25CE8" w:rsidRPr="001651FF" w:rsidRDefault="00E25CE8" w:rsidP="00E25CE8">
      <w:pPr>
        <w:pStyle w:val="ListParagraph"/>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 xml:space="preserve">ell changes via L1/L2 signalling, </w:t>
      </w:r>
      <w:ins w:id="51" w:author="Huawei (David Lecompte)" w:date="2021-05-31T10:25:00Z">
        <w:r w:rsidR="009A03A0">
          <w:rPr>
            <w:rFonts w:eastAsia="Times New Roman"/>
            <w:sz w:val="20"/>
            <w:szCs w:val="20"/>
            <w:lang w:val="fi-FI" w:eastAsia="zh-CN"/>
          </w:rPr>
          <w:t xml:space="preserve">the </w:t>
        </w:r>
      </w:ins>
      <w:r w:rsidR="00F76F66">
        <w:rPr>
          <w:rFonts w:eastAsia="Times New Roman"/>
          <w:sz w:val="20"/>
          <w:szCs w:val="20"/>
          <w:lang w:val="fi-FI" w:eastAsia="zh-CN"/>
        </w:rPr>
        <w:t>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43D101C0"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ins w:id="52" w:author="Huawei (David Lecompte)" w:date="2021-05-31T10:25:00Z">
        <w:r w:rsidR="009A03A0">
          <w:rPr>
            <w:rFonts w:eastAsia="Times New Roman"/>
            <w:sz w:val="20"/>
            <w:szCs w:val="20"/>
            <w:lang w:val="en-GB" w:eastAsia="zh-CN"/>
          </w:rPr>
          <w:t>,</w:t>
        </w:r>
      </w:ins>
      <w:r w:rsidR="00F76F66">
        <w:rPr>
          <w:rFonts w:eastAsia="Times New Roman"/>
          <w:sz w:val="20"/>
          <w:szCs w:val="20"/>
          <w:lang w:val="fi-FI" w:eastAsia="zh-CN"/>
        </w:rPr>
        <w:t xml:space="preserve"> </w:t>
      </w:r>
      <w:r w:rsidR="00A72EF1" w:rsidRPr="00A72EF1">
        <w:rPr>
          <w:rFonts w:eastAsia="Times New Roman"/>
          <w:sz w:val="20"/>
          <w:szCs w:val="20"/>
          <w:lang w:val="fi-FI" w:eastAsia="zh-CN"/>
        </w:rPr>
        <w:t>RRC provides the configuration</w:t>
      </w:r>
      <w:ins w:id="53" w:author="MediaTek (Li-Chuan)" w:date="2021-06-01T10:56:00Z">
        <w:r w:rsidR="00B60905">
          <w:rPr>
            <w:rFonts w:eastAsia="Times New Roman"/>
            <w:sz w:val="20"/>
            <w:szCs w:val="20"/>
            <w:lang w:val="fi-FI" w:eastAsia="zh-CN"/>
          </w:rPr>
          <w:t>s</w:t>
        </w:r>
      </w:ins>
      <w:r w:rsidR="00A72EF1" w:rsidRPr="00A72EF1">
        <w:rPr>
          <w:rFonts w:eastAsia="Times New Roman"/>
          <w:sz w:val="20"/>
          <w:szCs w:val="20"/>
          <w:lang w:val="fi-FI" w:eastAsia="zh-CN"/>
        </w:rPr>
        <w:t xml:space="preserve"> (i.e. addition, release or change) for </w:t>
      </w:r>
      <w:ins w:id="54" w:author="Huawei (David Lecompte)" w:date="2021-05-31T10:25:00Z">
        <w:r w:rsidR="009A03A0">
          <w:rPr>
            <w:rFonts w:eastAsia="Times New Roman"/>
            <w:sz w:val="20"/>
            <w:szCs w:val="20"/>
            <w:lang w:val="fi-FI" w:eastAsia="zh-CN"/>
          </w:rPr>
          <w:t xml:space="preserve">each </w:t>
        </w:r>
      </w:ins>
      <w:r w:rsidR="00A72EF1" w:rsidRPr="00A72EF1">
        <w:rPr>
          <w:rFonts w:eastAsia="Times New Roman"/>
          <w:sz w:val="20"/>
          <w:szCs w:val="20"/>
          <w:lang w:val="fi-FI" w:eastAsia="zh-CN"/>
        </w:rPr>
        <w:t>“</w:t>
      </w:r>
      <w:del w:id="55" w:author="Huawei (David Lecompte)" w:date="2021-05-31T10:26:00Z">
        <w:r w:rsidR="00A72EF1" w:rsidRPr="00A72EF1" w:rsidDel="009A03A0">
          <w:rPr>
            <w:rFonts w:eastAsia="Times New Roman"/>
            <w:sz w:val="20"/>
            <w:szCs w:val="20"/>
            <w:lang w:val="fi-FI" w:eastAsia="zh-CN"/>
          </w:rPr>
          <w:delText xml:space="preserve">the </w:delText>
        </w:r>
      </w:del>
      <w:r w:rsidR="00A72EF1" w:rsidRPr="00A72EF1">
        <w:rPr>
          <w:rFonts w:eastAsia="Times New Roman"/>
          <w:sz w:val="20"/>
          <w:szCs w:val="20"/>
          <w:lang w:val="fi-FI" w:eastAsia="zh-CN"/>
        </w:rPr>
        <w:t xml:space="preserve">cells having TRP with different PCI” </w:t>
      </w:r>
      <w:commentRangeStart w:id="56"/>
      <w:r w:rsidR="00A72EF1" w:rsidRPr="00A72EF1">
        <w:rPr>
          <w:rFonts w:eastAsia="Times New Roman"/>
          <w:sz w:val="20"/>
          <w:szCs w:val="20"/>
          <w:lang w:val="fi-FI" w:eastAsia="zh-CN"/>
        </w:rPr>
        <w:t xml:space="preserve">as part </w:t>
      </w:r>
      <w:r w:rsidR="00BD3D9F">
        <w:rPr>
          <w:rFonts w:eastAsia="Times New Roman"/>
          <w:sz w:val="20"/>
          <w:szCs w:val="20"/>
          <w:lang w:val="fi-FI" w:eastAsia="zh-CN"/>
        </w:rPr>
        <w:t>of</w:t>
      </w:r>
      <w:r w:rsidR="00A72EF1" w:rsidRPr="00A72EF1">
        <w:rPr>
          <w:rFonts w:eastAsia="Times New Roman"/>
          <w:sz w:val="20"/>
          <w:szCs w:val="20"/>
          <w:lang w:val="fi-FI" w:eastAsia="zh-CN"/>
        </w:rPr>
        <w:t xml:space="preserve"> </w:t>
      </w:r>
      <w:ins w:id="57" w:author="Huawei (David Lecompte)" w:date="2021-05-31T10:26:00Z">
        <w:r w:rsidR="009A03A0">
          <w:rPr>
            <w:rFonts w:eastAsia="Times New Roman"/>
            <w:sz w:val="20"/>
            <w:szCs w:val="20"/>
            <w:lang w:val="fi-FI" w:eastAsia="zh-CN"/>
          </w:rPr>
          <w:t>an</w:t>
        </w:r>
      </w:ins>
      <w:r w:rsidR="00A72EF1" w:rsidRPr="00A72EF1">
        <w:rPr>
          <w:rFonts w:eastAsia="Times New Roman"/>
          <w:sz w:val="20"/>
          <w:szCs w:val="20"/>
          <w:lang w:val="fi-FI" w:eastAsia="zh-CN"/>
        </w:rPr>
        <w:t xml:space="preserve">other serving cell </w:t>
      </w:r>
      <w:del w:id="58" w:author="Huawei (David Lecompte)" w:date="2021-05-31T10:26:00Z">
        <w:r w:rsidR="00F76F66" w:rsidDel="009A03A0">
          <w:rPr>
            <w:rFonts w:eastAsia="Times New Roman"/>
            <w:sz w:val="20"/>
            <w:szCs w:val="20"/>
            <w:lang w:val="fi-FI" w:eastAsia="zh-CN"/>
          </w:rPr>
          <w:delText xml:space="preserve"> </w:delText>
        </w:r>
      </w:del>
      <w:commentRangeEnd w:id="56"/>
      <w:r w:rsidR="00867C07">
        <w:rPr>
          <w:rStyle w:val="CommentReference"/>
        </w:rPr>
        <w:commentReference w:id="56"/>
      </w:r>
      <w:r w:rsidR="00F76F66">
        <w:rPr>
          <w:rFonts w:eastAsia="Times New Roman"/>
          <w:sz w:val="20"/>
          <w:szCs w:val="20"/>
          <w:lang w:val="fi-FI" w:eastAsia="zh-CN"/>
        </w:rPr>
        <w:t>(</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SimSun"/>
          <w:b/>
          <w:bCs/>
          <w:sz w:val="20"/>
          <w:szCs w:val="20"/>
          <w:lang w:val="en-GB" w:eastAsia="zh-CN"/>
        </w:rPr>
      </w:pPr>
    </w:p>
    <w:p w14:paraId="14F7E3B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2</w:t>
      </w:r>
      <w:r w:rsidRPr="001651FF">
        <w:rPr>
          <w:rFonts w:eastAsia="SimSun"/>
          <w:sz w:val="20"/>
          <w:szCs w:val="20"/>
          <w:lang w:val="en-GB" w:eastAsia="zh-CN"/>
        </w:rPr>
        <w:t>: In regard of RRC configuration, RAN1 is discussing whether to allow a UE to be configured for DL reception</w:t>
      </w:r>
      <w:r w:rsidRPr="001651FF">
        <w:rPr>
          <w:rFonts w:eastAsia="SimSun"/>
          <w:sz w:val="20"/>
          <w:szCs w:val="20"/>
          <w:lang w:eastAsia="zh-CN"/>
        </w:rPr>
        <w:t xml:space="preserve"> from</w:t>
      </w:r>
      <w:r w:rsidRPr="001651FF">
        <w:rPr>
          <w:rFonts w:eastAsia="SimSun"/>
          <w:sz w:val="20"/>
          <w:szCs w:val="20"/>
          <w:lang w:val="en-GB" w:eastAsia="zh-CN"/>
        </w:rPr>
        <w:t xml:space="preserve"> </w:t>
      </w:r>
      <w:r w:rsidRPr="001651FF">
        <w:rPr>
          <w:rFonts w:eastAsia="SimSun"/>
          <w:sz w:val="20"/>
          <w:szCs w:val="20"/>
          <w:lang w:eastAsia="zh-CN"/>
        </w:rPr>
        <w:t xml:space="preserve">or </w:t>
      </w:r>
      <w:r w:rsidRPr="001651FF">
        <w:rPr>
          <w:rFonts w:eastAsia="SimSun"/>
          <w:sz w:val="20"/>
          <w:szCs w:val="20"/>
          <w:lang w:val="en-GB" w:eastAsia="zh-CN"/>
        </w:rPr>
        <w:t>UL transmission</w:t>
      </w:r>
      <w:r w:rsidRPr="001651FF">
        <w:rPr>
          <w:rFonts w:eastAsia="SimSun"/>
          <w:sz w:val="20"/>
          <w:szCs w:val="20"/>
          <w:lang w:eastAsia="zh-CN"/>
        </w:rPr>
        <w:t xml:space="preserve"> to a non-serving cell</w:t>
      </w:r>
      <w:r w:rsidRPr="001651FF">
        <w:rPr>
          <w:rFonts w:eastAsia="SimSun"/>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proofErr w:type="spellStart"/>
      <w:r w:rsidRPr="001651FF">
        <w:rPr>
          <w:rFonts w:eastAsia="Times New Roman"/>
          <w:sz w:val="20"/>
          <w:szCs w:val="20"/>
          <w:lang w:eastAsia="zh-CN"/>
        </w:rPr>
        <w:t>epending</w:t>
      </w:r>
      <w:proofErr w:type="spellEnd"/>
      <w:r w:rsidRPr="001651FF">
        <w:rPr>
          <w:rFonts w:eastAsia="Times New Roman"/>
          <w:sz w:val="20"/>
          <w:szCs w:val="20"/>
          <w:lang w:eastAsia="zh-CN"/>
        </w:rPr>
        <w:t xml:space="preserve">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148F9EDA"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dedicated configuration</w:t>
      </w:r>
      <w:del w:id="59" w:author="Huawei (David Lecompte)" w:date="2021-05-31T10:31:00Z">
        <w:r w:rsidR="008C7337" w:rsidRPr="001651FF" w:rsidDel="009A03A0">
          <w:rPr>
            <w:rFonts w:eastAsia="Times New Roman"/>
            <w:sz w:val="20"/>
            <w:szCs w:val="20"/>
            <w:lang w:eastAsia="zh-CN"/>
          </w:rPr>
          <w:delText>s</w:delText>
        </w:r>
      </w:del>
      <w:r w:rsidR="008C7337" w:rsidRPr="001651FF">
        <w:rPr>
          <w:rFonts w:eastAsia="Times New Roman"/>
          <w:sz w:val="20"/>
          <w:szCs w:val="20"/>
          <w:lang w:eastAsia="zh-CN"/>
        </w:rPr>
        <w:t xml:space="preserve"> (e.g. </w:t>
      </w:r>
      <w:proofErr w:type="spellStart"/>
      <w:r w:rsidR="008C7337" w:rsidRPr="001651FF">
        <w:rPr>
          <w:rFonts w:eastAsia="Times New Roman"/>
          <w:sz w:val="20"/>
          <w:szCs w:val="20"/>
          <w:lang w:eastAsia="zh-CN"/>
        </w:rPr>
        <w:t>PxxCH</w:t>
      </w:r>
      <w:proofErr w:type="spellEnd"/>
      <w:r w:rsidR="008C7337" w:rsidRPr="001651FF">
        <w:rPr>
          <w:rFonts w:eastAsia="Times New Roman"/>
          <w:sz w:val="20"/>
          <w:szCs w:val="20"/>
          <w:lang w:eastAsia="zh-CN"/>
        </w:rPr>
        <w:t xml:space="preserve"> configurations, signaling of QCL source in each TCI state)</w:t>
      </w:r>
      <w:r w:rsidR="00E154D7" w:rsidRPr="001651FF">
        <w:rPr>
          <w:rFonts w:eastAsia="Times New Roman"/>
          <w:sz w:val="20"/>
          <w:szCs w:val="20"/>
          <w:lang w:eastAsia="zh-CN"/>
        </w:rPr>
        <w:t xml:space="preserve"> and/or the common configuration</w:t>
      </w:r>
      <w:del w:id="60" w:author="Huawei (David Lecompte)" w:date="2021-05-31T10:31:00Z">
        <w:r w:rsidR="00E154D7" w:rsidRPr="001651FF" w:rsidDel="009A03A0">
          <w:rPr>
            <w:rFonts w:eastAsia="Times New Roman"/>
            <w:sz w:val="20"/>
            <w:szCs w:val="20"/>
            <w:lang w:eastAsia="zh-CN"/>
          </w:rPr>
          <w:delText>s</w:delText>
        </w:r>
      </w:del>
      <w:r w:rsidR="00E154D7" w:rsidRPr="001651FF">
        <w:rPr>
          <w:rFonts w:eastAsia="Times New Roman"/>
          <w:sz w:val="20"/>
          <w:szCs w:val="20"/>
          <w:lang w:eastAsia="zh-CN"/>
        </w:rPr>
        <w:t xml:space="preserve">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ins w:id="61" w:author="Huawei (David Lecompte)" w:date="2021-05-31T10:27:00Z">
        <w:r w:rsidR="009A03A0">
          <w:rPr>
            <w:rFonts w:eastAsia="Times New Roman"/>
            <w:sz w:val="20"/>
            <w:szCs w:val="20"/>
            <w:lang w:eastAsia="zh-CN"/>
          </w:rPr>
          <w:t xml:space="preserve">a </w:t>
        </w:r>
      </w:ins>
      <w:r w:rsidR="00F76F66">
        <w:rPr>
          <w:rFonts w:eastAsia="Times New Roman"/>
          <w:sz w:val="20"/>
          <w:szCs w:val="20"/>
          <w:lang w:eastAsia="zh-CN"/>
        </w:rPr>
        <w:t xml:space="preserve">single protocol </w:t>
      </w:r>
      <w:commentRangeStart w:id="62"/>
      <w:r w:rsidR="00F76F66">
        <w:rPr>
          <w:rFonts w:eastAsia="Times New Roman"/>
          <w:sz w:val="20"/>
          <w:szCs w:val="20"/>
          <w:lang w:eastAsia="zh-CN"/>
        </w:rPr>
        <w:t>stack</w:t>
      </w:r>
      <w:commentRangeEnd w:id="62"/>
      <w:r w:rsidR="00137919">
        <w:rPr>
          <w:rStyle w:val="CommentReference"/>
        </w:rPr>
        <w:commentReference w:id="62"/>
      </w:r>
      <w:r w:rsidR="00F76F66">
        <w:rPr>
          <w:rFonts w:eastAsia="Times New Roman"/>
          <w:sz w:val="20"/>
          <w:szCs w:val="20"/>
          <w:lang w:eastAsia="zh-CN"/>
        </w:rPr>
        <w:t xml:space="preserve"> </w:t>
      </w:r>
      <w:ins w:id="63" w:author="Huawei (David Lecompte)" w:date="2021-05-31T10:27:00Z">
        <w:r w:rsidR="009A03A0">
          <w:rPr>
            <w:rFonts w:eastAsia="Times New Roman"/>
            <w:sz w:val="20"/>
            <w:szCs w:val="20"/>
            <w:lang w:eastAsia="zh-CN"/>
          </w:rPr>
          <w:t xml:space="preserve">for </w:t>
        </w:r>
      </w:ins>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6541A40B"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signaling can be used </w:t>
      </w:r>
      <w:r w:rsidR="0007771A">
        <w:rPr>
          <w:rFonts w:eastAsia="Times New Roman"/>
          <w:sz w:val="20"/>
          <w:szCs w:val="20"/>
          <w:lang w:val="fi-FI" w:eastAsia="zh-CN"/>
        </w:rPr>
        <w:t xml:space="preserve">to </w:t>
      </w:r>
      <w:commentRangeStart w:id="64"/>
      <w:commentRangeStart w:id="65"/>
      <w:commentRangeStart w:id="66"/>
      <w:commentRangeStart w:id="67"/>
      <w:r w:rsidR="0007771A">
        <w:rPr>
          <w:rFonts w:eastAsia="Times New Roman"/>
          <w:sz w:val="20"/>
          <w:szCs w:val="20"/>
          <w:lang w:val="fi-FI" w:eastAsia="zh-CN"/>
        </w:rPr>
        <w:t>switch</w:t>
      </w:r>
      <w:ins w:id="68" w:author="Nokia (Tero Henttonen)" w:date="2021-06-01T17:49:00Z">
        <w:r w:rsidR="00290D70">
          <w:rPr>
            <w:rFonts w:eastAsia="Times New Roman"/>
            <w:sz w:val="20"/>
            <w:szCs w:val="20"/>
            <w:lang w:val="fi-FI" w:eastAsia="zh-CN"/>
          </w:rPr>
          <w:t xml:space="preserve"> between used pre-configurations (similar to BWP switching)</w:t>
        </w:r>
      </w:ins>
      <w:ins w:id="69" w:author="Huawei (David Lecompte)" w:date="2021-05-31T10:29:00Z">
        <w:del w:id="70" w:author="Nokia (Tero Henttonen)" w:date="2021-06-01T17:49:00Z">
          <w:r w:rsidR="009A03A0" w:rsidDel="00290D70">
            <w:rPr>
              <w:rFonts w:eastAsia="Times New Roman"/>
              <w:sz w:val="20"/>
              <w:szCs w:val="20"/>
              <w:lang w:val="fi-FI" w:eastAsia="zh-CN"/>
            </w:rPr>
            <w:delText>change</w:delText>
          </w:r>
        </w:del>
      </w:ins>
      <w:del w:id="71" w:author="Nokia (Tero Henttonen)" w:date="2021-06-01T17:49:00Z">
        <w:r w:rsidR="0007771A" w:rsidDel="00290D70">
          <w:rPr>
            <w:rFonts w:eastAsia="Times New Roman"/>
            <w:sz w:val="20"/>
            <w:szCs w:val="20"/>
            <w:lang w:val="fi-FI" w:eastAsia="zh-CN"/>
          </w:rPr>
          <w:delText xml:space="preserve"> which configuration is used</w:delText>
        </w:r>
      </w:del>
      <w:commentRangeEnd w:id="64"/>
      <w:r w:rsidR="00B60905">
        <w:rPr>
          <w:rStyle w:val="CommentReference"/>
        </w:rPr>
        <w:commentReference w:id="64"/>
      </w:r>
      <w:commentRangeEnd w:id="65"/>
      <w:r w:rsidR="00290D70">
        <w:rPr>
          <w:rStyle w:val="CommentReference"/>
        </w:rPr>
        <w:commentReference w:id="65"/>
      </w:r>
      <w:commentRangeEnd w:id="66"/>
      <w:r w:rsidR="00137919">
        <w:rPr>
          <w:rStyle w:val="CommentReference"/>
        </w:rPr>
        <w:commentReference w:id="66"/>
      </w:r>
      <w:commentRangeEnd w:id="67"/>
      <w:r w:rsidR="00867C07">
        <w:rPr>
          <w:rStyle w:val="CommentReference"/>
        </w:rPr>
        <w:commentReference w:id="67"/>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SimSun"/>
          <w:sz w:val="20"/>
          <w:szCs w:val="20"/>
          <w:lang w:val="en-GB" w:eastAsia="zh-CN"/>
        </w:rPr>
      </w:pPr>
    </w:p>
    <w:p w14:paraId="614EB667"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3</w:t>
      </w:r>
      <w:r w:rsidRPr="001651FF">
        <w:rPr>
          <w:rFonts w:eastAsia="SimSun"/>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346FCAC6"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PCell and a new C-RNTI value is provided at PCell change, which may be the same or different, so RAN2 would like to support changing the C-RNTI for </w:t>
      </w:r>
      <w:ins w:id="72" w:author="Huawei (David Lecompte)" w:date="2021-05-31T10:29:00Z">
        <w:r w:rsidR="009A03A0">
          <w:rPr>
            <w:rFonts w:eastAsia="Times New Roman"/>
            <w:sz w:val="20"/>
            <w:szCs w:val="20"/>
            <w:lang w:val="en-GB" w:eastAsia="zh-CN"/>
          </w:rPr>
          <w:t xml:space="preserve">the </w:t>
        </w:r>
      </w:ins>
      <w:r w:rsidR="00A72EF1" w:rsidRPr="00A72EF1">
        <w:rPr>
          <w:rFonts w:eastAsia="Times New Roman"/>
          <w:sz w:val="20"/>
          <w:szCs w:val="20"/>
          <w:lang w:val="x-none" w:eastAsia="zh-CN"/>
        </w:rPr>
        <w:t>L1</w:t>
      </w:r>
      <w:ins w:id="73" w:author="Huawei (David Lecompte)" w:date="2021-05-31T10:29:00Z">
        <w:r w:rsidR="009A03A0">
          <w:rPr>
            <w:rFonts w:eastAsia="Times New Roman"/>
            <w:sz w:val="20"/>
            <w:szCs w:val="20"/>
            <w:lang w:val="en-GB" w:eastAsia="zh-CN"/>
          </w:rPr>
          <w:t>/</w:t>
        </w:r>
      </w:ins>
      <w:r w:rsidR="00A72EF1" w:rsidRPr="00A72EF1">
        <w:rPr>
          <w:rFonts w:eastAsia="Times New Roman"/>
          <w:sz w:val="20"/>
          <w:szCs w:val="20"/>
          <w:lang w:val="x-none" w:eastAsia="zh-CN"/>
        </w:rPr>
        <w:t>L2 mobility scenario.</w:t>
      </w:r>
      <w:r w:rsidR="001E29D3">
        <w:rPr>
          <w:rFonts w:eastAsia="Times New Roman"/>
          <w:sz w:val="20"/>
          <w:szCs w:val="20"/>
          <w:lang w:val="x-none" w:eastAsia="zh-CN"/>
        </w:rPr>
        <w:t xml:space="preserve"> For </w:t>
      </w:r>
      <w:ins w:id="74" w:author="Huawei (David Lecompte)" w:date="2021-05-31T10:29:00Z">
        <w:r w:rsidR="009A03A0">
          <w:rPr>
            <w:rFonts w:eastAsia="Times New Roman"/>
            <w:sz w:val="20"/>
            <w:szCs w:val="20"/>
            <w:lang w:val="en-GB" w:eastAsia="zh-CN"/>
          </w:rPr>
          <w:t xml:space="preserve">the </w:t>
        </w:r>
      </w:ins>
      <w:r w:rsidR="001E29D3">
        <w:rPr>
          <w:rFonts w:eastAsia="Times New Roman"/>
          <w:sz w:val="20"/>
          <w:szCs w:val="20"/>
          <w:lang w:val="x-none" w:eastAsia="zh-CN"/>
        </w:rPr>
        <w:t xml:space="preserve">mTRP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7F1683D6"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For L1</w:t>
      </w:r>
      <w:ins w:id="75" w:author="Huawei (David Lecompte)" w:date="2021-05-31T10:30:00Z">
        <w:r w:rsidR="009A03A0">
          <w:rPr>
            <w:rFonts w:eastAsia="Times New Roman"/>
            <w:sz w:val="20"/>
            <w:szCs w:val="20"/>
            <w:lang w:val="en-GB" w:eastAsia="zh-CN"/>
          </w:rPr>
          <w:t>/</w:t>
        </w:r>
      </w:ins>
      <w:r w:rsidR="009932F9">
        <w:rPr>
          <w:rFonts w:eastAsia="Times New Roman"/>
          <w:sz w:val="20"/>
          <w:szCs w:val="20"/>
          <w:lang w:val="x-none" w:eastAsia="zh-CN"/>
        </w:rPr>
        <w:t xml:space="preserve">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 xml:space="preserve">ell, which is different </w:t>
      </w:r>
      <w:ins w:id="76" w:author="Huawei (David Lecompte)" w:date="2021-05-31T10:30:00Z">
        <w:r w:rsidR="009A03A0">
          <w:rPr>
            <w:rFonts w:eastAsia="Times New Roman"/>
            <w:sz w:val="20"/>
            <w:szCs w:val="20"/>
            <w:lang w:val="fi-FI" w:eastAsia="zh-CN"/>
          </w:rPr>
          <w:t>from</w:t>
        </w:r>
      </w:ins>
      <w:del w:id="77" w:author="Huawei (David Lecompte)" w:date="2021-05-31T10:30:00Z">
        <w:r w:rsidR="0008694B" w:rsidDel="009A03A0">
          <w:rPr>
            <w:rFonts w:eastAsia="Times New Roman"/>
            <w:sz w:val="20"/>
            <w:szCs w:val="20"/>
            <w:lang w:val="fi-FI" w:eastAsia="zh-CN"/>
          </w:rPr>
          <w:delText>than</w:delText>
        </w:r>
      </w:del>
      <w:r w:rsidR="0008694B">
        <w:rPr>
          <w:rFonts w:eastAsia="Times New Roman"/>
          <w:sz w:val="20"/>
          <w:szCs w:val="20"/>
          <w:lang w:val="fi-FI" w:eastAsia="zh-CN"/>
        </w:rPr>
        <w:t xml:space="preserve">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lastRenderedPageBreak/>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SimSun"/>
          <w:sz w:val="20"/>
          <w:szCs w:val="20"/>
          <w:lang w:val="en-GB" w:eastAsia="zh-CN"/>
        </w:rPr>
      </w:pPr>
    </w:p>
    <w:p w14:paraId="501EA83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4</w:t>
      </w:r>
      <w:r w:rsidRPr="001651FF">
        <w:rPr>
          <w:rFonts w:eastAsia="SimSun"/>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0E28F920"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w:t>
      </w:r>
      <w:del w:id="78" w:author="Huawei (David Lecompte)" w:date="2021-05-31T10:32:00Z">
        <w:r w:rsidR="00F44FA3" w:rsidRPr="001651FF" w:rsidDel="009A03A0">
          <w:rPr>
            <w:rFonts w:eastAsiaTheme="minorEastAsia"/>
            <w:sz w:val="20"/>
            <w:szCs w:val="20"/>
            <w:lang w:eastAsia="ja-JP"/>
          </w:rPr>
          <w:delText xml:space="preserve">both </w:delText>
        </w:r>
      </w:del>
      <w:r w:rsidR="00F44FA3" w:rsidRPr="001651FF">
        <w:rPr>
          <w:rFonts w:eastAsiaTheme="minorEastAsia"/>
          <w:sz w:val="20"/>
          <w:szCs w:val="20"/>
          <w:lang w:eastAsia="ja-JP"/>
        </w:rPr>
        <w:t xml:space="preserve">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Network inter-operability (e.g. across different </w:t>
      </w:r>
      <w:proofErr w:type="spellStart"/>
      <w:r w:rsidRPr="001651FF">
        <w:rPr>
          <w:rFonts w:eastAsia="Times New Roman"/>
          <w:sz w:val="20"/>
          <w:szCs w:val="20"/>
          <w:lang w:eastAsia="zh-CN"/>
        </w:rPr>
        <w:t>gNB</w:t>
      </w:r>
      <w:proofErr w:type="spellEnd"/>
      <w:r w:rsidRPr="001651FF">
        <w:rPr>
          <w:rFonts w:eastAsia="Times New Roman"/>
          <w:sz w:val="20"/>
          <w:szCs w:val="20"/>
          <w:lang w:eastAsia="zh-CN"/>
        </w:rPr>
        <w:t xml:space="preserve">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62311BD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w:t>
      </w:r>
      <w:ins w:id="79" w:author="Ozcan Ozturk" w:date="2021-06-01T08:59:00Z">
        <w:r w:rsidR="00137919">
          <w:rPr>
            <w:rFonts w:eastAsia="Times New Roman"/>
            <w:sz w:val="20"/>
            <w:szCs w:val="20"/>
            <w:lang w:val="fi-FI" w:eastAsia="zh-CN"/>
          </w:rPr>
          <w:t xml:space="preserve"> of</w:t>
        </w:r>
      </w:ins>
      <w:r w:rsidR="00535B55">
        <w:rPr>
          <w:rFonts w:eastAsia="Times New Roman"/>
          <w:sz w:val="20"/>
          <w:szCs w:val="20"/>
          <w:lang w:val="fi-FI" w:eastAsia="zh-CN"/>
        </w:rPr>
        <w:t xml:space="preserv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SimSun"/>
          <w:sz w:val="20"/>
          <w:szCs w:val="20"/>
          <w:lang w:val="x-none" w:eastAsia="zh-CN"/>
        </w:rPr>
      </w:pPr>
    </w:p>
    <w:p w14:paraId="563E62A8"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5</w:t>
      </w:r>
      <w:r w:rsidRPr="001651FF">
        <w:rPr>
          <w:rFonts w:eastAsia="SimSun"/>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SimSun"/>
          <w:sz w:val="20"/>
          <w:szCs w:val="20"/>
          <w:lang w:val="x-none" w:eastAsia="zh-CN"/>
        </w:rPr>
      </w:pPr>
    </w:p>
    <w:p w14:paraId="183FB253"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6</w:t>
      </w:r>
      <w:r w:rsidRPr="001651FF">
        <w:rPr>
          <w:rFonts w:eastAsia="SimSun"/>
          <w:sz w:val="20"/>
          <w:szCs w:val="20"/>
          <w:lang w:val="en-GB" w:eastAsia="zh-CN"/>
        </w:rPr>
        <w:t xml:space="preserve">: In regard of inter-frequency issues, from RAN2/4 perspective, what would be the higher-layer and RRM impact assuming inter-frequency scenarios as opposed to intra-frequency scenarios? For intra-frequency scenario, it is assumed that SSBs of non-serving cells have the same </w:t>
      </w:r>
      <w:proofErr w:type="spellStart"/>
      <w:r w:rsidRPr="001651FF">
        <w:rPr>
          <w:rFonts w:eastAsia="SimSun"/>
          <w:sz w:val="20"/>
          <w:szCs w:val="20"/>
          <w:lang w:val="en-GB" w:eastAsia="zh-CN"/>
        </w:rPr>
        <w:t>center</w:t>
      </w:r>
      <w:proofErr w:type="spellEnd"/>
      <w:r w:rsidRPr="001651FF">
        <w:rPr>
          <w:rFonts w:eastAsia="SimSun"/>
          <w:sz w:val="20"/>
          <w:szCs w:val="20"/>
          <w:lang w:val="en-GB" w:eastAsia="zh-CN"/>
        </w:rPr>
        <w:t xml:space="preserve">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3C3B5D55"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RAN2 prefer to prioritize intra-frequency case in Rel-</w:t>
      </w:r>
      <w:commentRangeStart w:id="80"/>
      <w:r w:rsidR="00DF10A2" w:rsidRPr="001651FF">
        <w:rPr>
          <w:rFonts w:eastAsia="Times New Roman"/>
          <w:sz w:val="20"/>
          <w:szCs w:val="20"/>
          <w:lang w:val="x-none" w:eastAsia="zh-CN"/>
        </w:rPr>
        <w:t>17</w:t>
      </w:r>
      <w:commentRangeEnd w:id="80"/>
      <w:r w:rsidR="00137919">
        <w:rPr>
          <w:rStyle w:val="CommentReference"/>
        </w:rPr>
        <w:commentReference w:id="80"/>
      </w:r>
      <w:r w:rsidR="00DF10A2" w:rsidRPr="001651FF">
        <w:rPr>
          <w:rFonts w:eastAsia="Times New Roman"/>
          <w:sz w:val="20"/>
          <w:szCs w:val="20"/>
          <w:lang w:val="x-none" w:eastAsia="zh-CN"/>
        </w:rPr>
        <w:t xml:space="preserve">,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DF10A2" w:rsidRDefault="00A566AD" w:rsidP="008651F2">
      <w:pPr>
        <w:overflowPunct w:val="0"/>
        <w:adjustRightInd w:val="0"/>
        <w:spacing w:after="180"/>
        <w:textAlignment w:val="baseline"/>
        <w:rPr>
          <w:rFonts w:ascii="Arial" w:eastAsia="DengXian" w:hAnsi="Arial" w:cs="Arial"/>
          <w:sz w:val="20"/>
          <w:szCs w:val="20"/>
          <w:lang w:val="x-none" w:eastAsia="zh-CN"/>
        </w:rPr>
      </w:pPr>
    </w:p>
    <w:p w14:paraId="1E09CEBF" w14:textId="77777777" w:rsid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3</w:t>
      </w:r>
      <w:r w:rsidR="00485BEE" w:rsidRPr="000A52C9">
        <w:rPr>
          <w:rFonts w:ascii="Arial" w:eastAsia="SimSun" w:hAnsi="Arial" w:cs="Arial"/>
          <w:b/>
          <w:sz w:val="20"/>
          <w:szCs w:val="20"/>
        </w:rPr>
        <w:t>. Actions:</w:t>
      </w:r>
    </w:p>
    <w:p w14:paraId="695A5959" w14:textId="61D30D13" w:rsidR="005C4BD3" w:rsidRPr="001E376C" w:rsidRDefault="005C4BD3" w:rsidP="001E376C">
      <w:pPr>
        <w:spacing w:before="120" w:after="120"/>
        <w:rPr>
          <w:rFonts w:ascii="Arial" w:eastAsia="SimSun" w:hAnsi="Arial" w:cs="Arial"/>
          <w:b/>
          <w:sz w:val="20"/>
          <w:szCs w:val="20"/>
        </w:rPr>
      </w:pPr>
      <w:r w:rsidRPr="001E376C">
        <w:rPr>
          <w:rFonts w:ascii="Arial" w:eastAsia="SimSun" w:hAnsi="Arial" w:cs="Arial"/>
          <w:b/>
          <w:bCs/>
          <w:sz w:val="20"/>
          <w:szCs w:val="20"/>
          <w:lang w:eastAsia="zh-CN"/>
        </w:rPr>
        <w:t>To: RAN1</w:t>
      </w:r>
    </w:p>
    <w:p w14:paraId="617864CA" w14:textId="77777777" w:rsidR="005C4BD3" w:rsidRDefault="00263204" w:rsidP="00DC1AC9">
      <w:pPr>
        <w:spacing w:before="120" w:after="120"/>
        <w:rPr>
          <w:rFonts w:ascii="Arial" w:eastAsia="SimSun" w:hAnsi="Arial" w:cs="Arial"/>
          <w:sz w:val="20"/>
          <w:szCs w:val="20"/>
          <w:lang w:eastAsia="zh-CN"/>
        </w:rPr>
      </w:pPr>
      <w:r w:rsidRPr="00263204">
        <w:rPr>
          <w:rFonts w:ascii="Arial" w:eastAsia="SimSun" w:hAnsi="Arial" w:cs="Arial"/>
          <w:sz w:val="20"/>
          <w:szCs w:val="20"/>
          <w:lang w:eastAsia="zh-CN"/>
        </w:rPr>
        <w:t>RAN</w:t>
      </w:r>
      <w:r>
        <w:rPr>
          <w:rFonts w:ascii="Arial" w:eastAsia="SimSun" w:hAnsi="Arial" w:cs="Arial"/>
          <w:sz w:val="20"/>
          <w:szCs w:val="20"/>
          <w:lang w:eastAsia="zh-CN"/>
        </w:rPr>
        <w:t>2</w:t>
      </w:r>
      <w:r w:rsidRPr="00263204">
        <w:rPr>
          <w:rFonts w:ascii="Arial" w:eastAsia="SimSun" w:hAnsi="Arial" w:cs="Arial"/>
          <w:sz w:val="20"/>
          <w:szCs w:val="20"/>
          <w:lang w:eastAsia="zh-CN"/>
        </w:rPr>
        <w:t xml:space="preserve"> respectfully asks RAN</w:t>
      </w:r>
      <w:r w:rsidR="00320722">
        <w:rPr>
          <w:rFonts w:ascii="Arial" w:eastAsia="SimSun" w:hAnsi="Arial" w:cs="Arial"/>
          <w:sz w:val="20"/>
          <w:szCs w:val="20"/>
          <w:lang w:eastAsia="zh-CN"/>
        </w:rPr>
        <w:t>1</w:t>
      </w:r>
      <w:r w:rsidRPr="00263204">
        <w:rPr>
          <w:rFonts w:ascii="Arial" w:eastAsia="SimSun" w:hAnsi="Arial" w:cs="Arial"/>
          <w:sz w:val="20"/>
          <w:szCs w:val="20"/>
          <w:lang w:eastAsia="zh-CN"/>
        </w:rPr>
        <w:t xml:space="preserve"> to take the above information into account for future work</w:t>
      </w:r>
      <w:r w:rsidR="000D1325">
        <w:rPr>
          <w:rFonts w:ascii="Arial" w:eastAsia="SimSun" w:hAnsi="Arial" w:cs="Arial"/>
          <w:sz w:val="20"/>
          <w:szCs w:val="20"/>
          <w:lang w:eastAsia="zh-CN"/>
        </w:rPr>
        <w:t>.</w:t>
      </w:r>
      <w:r w:rsidRPr="00263204">
        <w:rPr>
          <w:rFonts w:ascii="Arial" w:eastAsia="SimSun" w:hAnsi="Arial" w:cs="Arial"/>
          <w:sz w:val="20"/>
          <w:szCs w:val="20"/>
          <w:lang w:eastAsia="zh-CN"/>
        </w:rPr>
        <w:t xml:space="preserve"> </w:t>
      </w:r>
    </w:p>
    <w:p w14:paraId="794D257D" w14:textId="418D36B4" w:rsidR="00C31DE7" w:rsidRDefault="00312719" w:rsidP="00DC1AC9">
      <w:pPr>
        <w:spacing w:before="120" w:after="120"/>
        <w:rPr>
          <w:rFonts w:ascii="Arial" w:eastAsia="SimSun" w:hAnsi="Arial" w:cs="Arial"/>
          <w:sz w:val="20"/>
          <w:szCs w:val="20"/>
          <w:lang w:eastAsia="zh-CN"/>
        </w:rPr>
      </w:pPr>
      <w:r>
        <w:rPr>
          <w:rFonts w:ascii="Arial" w:eastAsia="SimSun" w:hAnsi="Arial" w:cs="Arial"/>
          <w:sz w:val="20"/>
          <w:szCs w:val="20"/>
          <w:lang w:eastAsia="zh-CN"/>
        </w:rPr>
        <w:t xml:space="preserve">RAN2 also respectfully requests </w:t>
      </w:r>
      <w:r w:rsidR="005C4BD3">
        <w:rPr>
          <w:rFonts w:ascii="Arial" w:eastAsia="SimSun"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 xml:space="preserve">(i.e. measurements not using L3 filtering) </w:t>
      </w:r>
      <w:r w:rsidRPr="00121CB2">
        <w:rPr>
          <w:rFonts w:ascii="Arial" w:eastAsiaTheme="minorEastAsia"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sidR="00FA7EDE">
        <w:rPr>
          <w:rFonts w:ascii="Arial" w:eastAsia="SimSun"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SimSun" w:hAnsi="Arial" w:cs="Arial"/>
          <w:sz w:val="20"/>
          <w:szCs w:val="20"/>
          <w:lang w:eastAsia="zh-CN"/>
        </w:rPr>
      </w:pPr>
    </w:p>
    <w:p w14:paraId="76172E63" w14:textId="77777777" w:rsidR="00485BEE" w:rsidRPr="000A52C9"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4</w:t>
      </w:r>
      <w:r w:rsidR="00485BEE" w:rsidRPr="000A52C9">
        <w:rPr>
          <w:rFonts w:ascii="Arial" w:eastAsia="SimSun" w:hAnsi="Arial" w:cs="Arial"/>
          <w:b/>
          <w:sz w:val="20"/>
          <w:szCs w:val="20"/>
        </w:rPr>
        <w:t>. Date of Next RAN</w:t>
      </w:r>
      <w:r w:rsidR="00485BEE" w:rsidRPr="000A52C9">
        <w:rPr>
          <w:rFonts w:ascii="Arial" w:eastAsia="SimSun" w:hAnsi="Arial" w:cs="Arial" w:hint="eastAsia"/>
          <w:b/>
          <w:sz w:val="20"/>
          <w:szCs w:val="20"/>
        </w:rPr>
        <w:t>2</w:t>
      </w:r>
      <w:r w:rsidR="00485BEE" w:rsidRPr="000A52C9">
        <w:rPr>
          <w:rFonts w:ascii="Arial" w:eastAsia="SimSun" w:hAnsi="Arial" w:cs="Arial"/>
          <w:b/>
          <w:sz w:val="20"/>
          <w:szCs w:val="20"/>
        </w:rPr>
        <w:t xml:space="preserve"> Meetings:</w:t>
      </w:r>
    </w:p>
    <w:p w14:paraId="725B76A9" w14:textId="77777777" w:rsidR="00B62B09" w:rsidRDefault="00B62B09"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 xml:space="preserve">5-e            </w:t>
      </w:r>
      <w:r w:rsidR="005E664C">
        <w:rPr>
          <w:rFonts w:ascii="Arial" w:eastAsia="SimSun" w:hAnsi="Arial" w:cs="Arial"/>
          <w:sz w:val="20"/>
          <w:szCs w:val="20"/>
          <w:lang w:eastAsia="zh-CN"/>
        </w:rPr>
        <w:tab/>
        <w:t xml:space="preserve">   Aug.</w:t>
      </w:r>
      <w:r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6</w:t>
      </w:r>
      <w:r w:rsidR="00D2750C">
        <w:rPr>
          <w:rFonts w:ascii="Arial" w:eastAsia="SimSun" w:hAnsi="Arial" w:cs="Arial"/>
          <w:sz w:val="20"/>
          <w:szCs w:val="20"/>
          <w:lang w:eastAsia="zh-CN"/>
        </w:rPr>
        <w:t xml:space="preserve"> </w:t>
      </w:r>
      <w:r w:rsidR="002235A0">
        <w:rPr>
          <w:rFonts w:ascii="Arial" w:eastAsia="SimSun" w:hAnsi="Arial" w:cs="Arial"/>
          <w:sz w:val="20"/>
          <w:szCs w:val="20"/>
          <w:lang w:eastAsia="zh-CN"/>
        </w:rPr>
        <w:t xml:space="preserve">– </w:t>
      </w:r>
      <w:r w:rsidRPr="00B62B09">
        <w:rPr>
          <w:rFonts w:ascii="Arial" w:eastAsia="SimSun" w:hAnsi="Arial" w:cs="Arial"/>
          <w:sz w:val="20"/>
          <w:szCs w:val="20"/>
          <w:lang w:eastAsia="zh-CN"/>
        </w:rPr>
        <w:t>27, 2021           Online</w:t>
      </w:r>
    </w:p>
    <w:p w14:paraId="39E42469" w14:textId="77777777" w:rsidR="00D2750C" w:rsidRPr="002235A0" w:rsidRDefault="002013A3"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lastRenderedPageBreak/>
        <w:t>TSG RAN WG2   Meeting #11</w:t>
      </w:r>
      <w:r w:rsidR="005E664C">
        <w:rPr>
          <w:rFonts w:ascii="Arial" w:eastAsia="SimSun" w:hAnsi="Arial" w:cs="Arial"/>
          <w:sz w:val="20"/>
          <w:szCs w:val="20"/>
          <w:lang w:eastAsia="zh-CN"/>
        </w:rPr>
        <w:t>6</w:t>
      </w:r>
      <w:r w:rsidRPr="00B62B09">
        <w:rPr>
          <w:rFonts w:ascii="Arial" w:eastAsia="SimSun" w:hAnsi="Arial" w:cs="Arial"/>
          <w:sz w:val="20"/>
          <w:szCs w:val="20"/>
          <w:lang w:eastAsia="zh-CN"/>
        </w:rPr>
        <w:t xml:space="preserve">-e            </w:t>
      </w:r>
      <w:r w:rsidRPr="00B62B09">
        <w:rPr>
          <w:rFonts w:ascii="Arial" w:eastAsia="SimSun" w:hAnsi="Arial" w:cs="Arial"/>
          <w:sz w:val="20"/>
          <w:szCs w:val="20"/>
          <w:lang w:eastAsia="zh-CN"/>
        </w:rPr>
        <w:tab/>
        <w:t xml:space="preserve">   </w:t>
      </w:r>
      <w:r w:rsidR="005E664C">
        <w:rPr>
          <w:rFonts w:ascii="Arial" w:eastAsia="SimSun" w:hAnsi="Arial" w:cs="Arial"/>
          <w:sz w:val="20"/>
          <w:szCs w:val="20"/>
          <w:lang w:eastAsia="zh-CN"/>
        </w:rPr>
        <w:t>Nov.</w:t>
      </w:r>
      <w:r w:rsidR="005E664C"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 xml:space="preserve"> – 12</w:t>
      </w:r>
      <w:r w:rsidR="005E664C" w:rsidRPr="00B62B09">
        <w:rPr>
          <w:rFonts w:ascii="Arial" w:eastAsia="SimSun" w:hAnsi="Arial" w:cs="Arial"/>
          <w:sz w:val="20"/>
          <w:szCs w:val="20"/>
          <w:lang w:eastAsia="zh-CN"/>
        </w:rPr>
        <w:t xml:space="preserve">, 2021          </w:t>
      </w:r>
      <w:r w:rsidR="00F56849">
        <w:rPr>
          <w:rFonts w:ascii="Arial" w:eastAsia="SimSun" w:hAnsi="Arial" w:cs="Arial"/>
          <w:sz w:val="20"/>
          <w:szCs w:val="20"/>
          <w:lang w:eastAsia="zh-CN"/>
        </w:rPr>
        <w:t xml:space="preserve"> </w:t>
      </w:r>
      <w:r w:rsidR="005E664C" w:rsidRPr="00B62B09">
        <w:rPr>
          <w:rFonts w:ascii="Arial" w:eastAsia="SimSun"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Nokia (Tero Henttonen)" w:date="2021-06-01T17:46:00Z" w:initials="Nokia">
    <w:p w14:paraId="5014FE3D" w14:textId="0C0A7BF2" w:rsidR="00290D70" w:rsidRDefault="00290D70">
      <w:pPr>
        <w:pStyle w:val="CommentText"/>
      </w:pPr>
      <w:r>
        <w:rPr>
          <w:rStyle w:val="CommentReference"/>
        </w:rPr>
        <w:annotationRef/>
      </w:r>
      <w:r>
        <w:t>It seems best to say that "serving cell change is not required", since RRC can do that anyway for other reasons.</w:t>
      </w:r>
    </w:p>
  </w:comment>
  <w:comment w:id="17" w:author="Nokia (Tero Henttonen)" w:date="2021-06-01T17:51:00Z" w:initials="Nokia">
    <w:p w14:paraId="0A94DE01" w14:textId="0E75DA33" w:rsidR="00290D70" w:rsidRDefault="00290D70">
      <w:pPr>
        <w:pStyle w:val="CommentText"/>
      </w:pPr>
      <w:r>
        <w:rPr>
          <w:rStyle w:val="CommentReference"/>
        </w:rPr>
        <w:annotationRef/>
      </w:r>
      <w:r>
        <w:t>Adding this to unify text with answer 1-6.</w:t>
      </w:r>
    </w:p>
  </w:comment>
  <w:comment w:id="19" w:author="Ozcan Ozturk" w:date="2021-06-01T08:51:00Z" w:initials="OO">
    <w:p w14:paraId="61FF6887" w14:textId="2F24230A" w:rsidR="00137919" w:rsidRDefault="00137919">
      <w:pPr>
        <w:pStyle w:val="CommentText"/>
      </w:pPr>
      <w:r>
        <w:rPr>
          <w:rStyle w:val="CommentReference"/>
        </w:rPr>
        <w:annotationRef/>
      </w:r>
      <w:r>
        <w:t xml:space="preserve">I understand the intention of the part in the </w:t>
      </w:r>
      <w:r w:rsidR="00F66EA9">
        <w:t>parenthesis,</w:t>
      </w:r>
      <w:r>
        <w:t xml:space="preserve"> but it may be confusing to RAN1 who doesn’t know RRC details.</w:t>
      </w:r>
    </w:p>
  </w:comment>
  <w:comment w:id="24" w:author="Huawei (David Lecompte)" w:date="2021-05-31T10:22:00Z" w:initials="HW">
    <w:p w14:paraId="7C23B984" w14:textId="0841EAFF" w:rsidR="00D0370E" w:rsidRDefault="00D0370E">
      <w:pPr>
        <w:pStyle w:val="CommentText"/>
      </w:pPr>
      <w:r>
        <w:rPr>
          <w:rStyle w:val="CommentReference"/>
        </w:rPr>
        <w:annotationRef/>
      </w:r>
      <w:r>
        <w:t>To make it clear it refers to the above-mentioned pre-configurations.</w:t>
      </w:r>
    </w:p>
  </w:comment>
  <w:comment w:id="26" w:author="Huawei (David Lecompte)" w:date="2021-05-31T10:21:00Z" w:initials="HW">
    <w:p w14:paraId="6DAEF25C" w14:textId="74FA1783" w:rsidR="00D0370E" w:rsidRDefault="00D0370E">
      <w:pPr>
        <w:pStyle w:val="CommentText"/>
      </w:pPr>
      <w:r>
        <w:rPr>
          <w:rStyle w:val="CommentReference"/>
        </w:rPr>
        <w:annotationRef/>
      </w:r>
      <w:r>
        <w:t>This question is only for scenario 2, perhaps this sentence should be moved at the end of answer 1-1.</w:t>
      </w:r>
    </w:p>
  </w:comment>
  <w:comment w:id="27" w:author="MediaTek (Li-Chuan)" w:date="2021-06-01T10:53:00Z" w:initials="LT">
    <w:p w14:paraId="3E446619" w14:textId="70AFF703" w:rsidR="00B60905" w:rsidRDefault="00B60905">
      <w:pPr>
        <w:pStyle w:val="CommentText"/>
      </w:pPr>
      <w:r>
        <w:rPr>
          <w:rStyle w:val="CommentReference"/>
        </w:rPr>
        <w:annotationRef/>
      </w:r>
      <w:r>
        <w:t xml:space="preserve">Agree. If RAN2 thinks that serving cell change is not needed in Scenario 1, all “If yes” (serving cell is changed) questions should be considered only for Scenario 2. </w:t>
      </w:r>
    </w:p>
  </w:comment>
  <w:comment w:id="28" w:author="Nokia (Tero Henttonen)" w:date="2021-06-01T17:44:00Z" w:initials="Nokia">
    <w:p w14:paraId="71B52ECF" w14:textId="3E00D2B9" w:rsidR="00290D70" w:rsidRDefault="00290D70">
      <w:pPr>
        <w:pStyle w:val="CommentText"/>
      </w:pPr>
      <w:r>
        <w:rPr>
          <w:rStyle w:val="CommentReference"/>
        </w:rPr>
        <w:annotationRef/>
      </w:r>
      <w:r>
        <w:t>It's true that the question is for serving cell change. That said, it would still be good to mention since answer 1-1 says "serving cell change is not required" to make it clear.</w:t>
      </w:r>
    </w:p>
  </w:comment>
  <w:comment w:id="29" w:author="Ozcan Ozturk" w:date="2021-06-01T08:50:00Z" w:initials="OO">
    <w:p w14:paraId="00EF12BC" w14:textId="6F63C813" w:rsidR="00137919" w:rsidRDefault="00137919">
      <w:pPr>
        <w:pStyle w:val="CommentText"/>
      </w:pPr>
      <w:r>
        <w:rPr>
          <w:rStyle w:val="CommentReference"/>
        </w:rPr>
        <w:annotationRef/>
      </w:r>
      <w:r>
        <w:t>Agree with HW</w:t>
      </w:r>
    </w:p>
  </w:comment>
  <w:comment w:id="30" w:author="Ericsson (Pradeepa Ramachandra)" w:date="2021-06-02T06:13:00Z" w:initials="E">
    <w:p w14:paraId="54210E1E" w14:textId="03DDCB34" w:rsidR="00867C07" w:rsidRDefault="00867C07">
      <w:pPr>
        <w:pStyle w:val="CommentText"/>
      </w:pPr>
      <w:r>
        <w:rPr>
          <w:rStyle w:val="CommentReference"/>
        </w:rPr>
        <w:annotationRef/>
      </w:r>
      <w:r>
        <w:t xml:space="preserve">Agree with </w:t>
      </w:r>
      <w:proofErr w:type="spellStart"/>
      <w:r>
        <w:t>Huawei+QC</w:t>
      </w:r>
      <w:proofErr w:type="spellEnd"/>
      <w:r>
        <w:t>. Scenario-1 parts are not required here.</w:t>
      </w:r>
    </w:p>
  </w:comment>
  <w:comment w:id="35" w:author="Xiaomi" w:date="2021-06-01T17:51:00Z" w:initials="xiaomi">
    <w:p w14:paraId="15F3E4F5" w14:textId="7C9437E3" w:rsidR="00765139" w:rsidRDefault="00765139">
      <w:pPr>
        <w:pStyle w:val="CommentText"/>
      </w:pPr>
      <w:r>
        <w:rPr>
          <w:rStyle w:val="CommentReference"/>
        </w:rPr>
        <w:annotationRef/>
      </w:r>
      <w:r>
        <w:t>We should make the answer clearer on whether the behavior is for Scenario</w:t>
      </w:r>
      <w:r w:rsidR="00FC13CC">
        <w:t xml:space="preserve"> 1 or Scenario 2.</w:t>
      </w:r>
    </w:p>
  </w:comment>
  <w:comment w:id="36" w:author="Nokia (Tero Henttonen)" w:date="2021-06-01T17:47:00Z" w:initials="Nokia">
    <w:p w14:paraId="5726B7A3" w14:textId="179FC9FC" w:rsidR="00290D70" w:rsidRDefault="00290D70">
      <w:pPr>
        <w:pStyle w:val="CommentText"/>
      </w:pPr>
      <w:r>
        <w:t xml:space="preserve">No strong view, but </w:t>
      </w:r>
      <w:r>
        <w:rPr>
          <w:rStyle w:val="CommentReference"/>
        </w:rPr>
        <w:annotationRef/>
      </w:r>
      <w:r>
        <w:t>is this really needed? The previous sentence already makes it clear this is for scenario 2.</w:t>
      </w:r>
    </w:p>
  </w:comment>
  <w:comment w:id="37" w:author="Ozcan Ozturk" w:date="2021-06-01T08:52:00Z" w:initials="OO">
    <w:p w14:paraId="09F547A8" w14:textId="128860A0" w:rsidR="00137919" w:rsidRDefault="00137919">
      <w:pPr>
        <w:pStyle w:val="CommentText"/>
      </w:pPr>
      <w:r>
        <w:rPr>
          <w:rStyle w:val="CommentReference"/>
        </w:rPr>
        <w:annotationRef/>
      </w:r>
      <w:r>
        <w:t>1-3 is a continuation of 1-2 and for Scenario 2 only.</w:t>
      </w:r>
    </w:p>
  </w:comment>
  <w:comment w:id="38" w:author="Ericsson (Pradeepa Ramachandra)" w:date="2021-06-02T06:13:00Z" w:initials="E">
    <w:p w14:paraId="6EC932B9" w14:textId="604A487C" w:rsidR="00867C07" w:rsidRDefault="00867C07">
      <w:pPr>
        <w:pStyle w:val="CommentText"/>
      </w:pPr>
      <w:r>
        <w:rPr>
          <w:rStyle w:val="CommentReference"/>
        </w:rPr>
        <w:annotationRef/>
      </w:r>
      <w:r>
        <w:t>Agree with QC.</w:t>
      </w:r>
    </w:p>
  </w:comment>
  <w:comment w:id="56" w:author="Ericsson (Pradeepa Ramachandra)" w:date="2021-06-02T06:19:00Z" w:initials="E">
    <w:p w14:paraId="640B4F8E" w14:textId="53180DA2" w:rsidR="00867C07" w:rsidRDefault="00867C07">
      <w:pPr>
        <w:pStyle w:val="CommentText"/>
      </w:pPr>
      <w:r>
        <w:rPr>
          <w:rStyle w:val="CommentReference"/>
        </w:rPr>
        <w:annotationRef/>
      </w:r>
      <w:r>
        <w:t xml:space="preserve">Have we already decided that this will be modeled as ‘another serving cell’ in the RRC? We believe the above RAN2 agreement does not include </w:t>
      </w:r>
      <w:r w:rsidR="000C7A6D">
        <w:t xml:space="preserve">how these configurations look like. Although modeling as ‘another serving cell’ seems straight forward compared to creating a new ‘assistance cell’ structure within the serving cell configuration on a serving frequency. Therefore, for the time being we should not mention anything about this modeling aspect. </w:t>
      </w:r>
      <w:proofErr w:type="gramStart"/>
      <w:r w:rsidR="000C7A6D">
        <w:t>So</w:t>
      </w:r>
      <w:proofErr w:type="gramEnd"/>
      <w:r w:rsidR="000C7A6D">
        <w:t xml:space="preserve"> we propose to remove this text.</w:t>
      </w:r>
      <w:r>
        <w:t xml:space="preserve"> </w:t>
      </w:r>
    </w:p>
  </w:comment>
  <w:comment w:id="62" w:author="Ozcan Ozturk" w:date="2021-06-01T08:56:00Z" w:initials="OO">
    <w:p w14:paraId="7A50EF0F" w14:textId="10C9EBAE" w:rsidR="00137919" w:rsidRDefault="00137919">
      <w:pPr>
        <w:pStyle w:val="CommentText"/>
      </w:pPr>
      <w:r>
        <w:rPr>
          <w:rStyle w:val="CommentReference"/>
        </w:rPr>
        <w:annotationRef/>
      </w:r>
      <w:r>
        <w:t>It would be good to put MAC/RLC/PDCP or L2 to clarify the “protocol stack”.</w:t>
      </w:r>
    </w:p>
  </w:comment>
  <w:comment w:id="64" w:author="MediaTek (Li-Chuan)" w:date="2021-06-01T10:57:00Z" w:initials="LT">
    <w:p w14:paraId="443D0162" w14:textId="5DAE071A" w:rsidR="00B60905" w:rsidRDefault="00B60905">
      <w:pPr>
        <w:pStyle w:val="CommentText"/>
      </w:pPr>
      <w:r>
        <w:rPr>
          <w:rStyle w:val="CommentReference"/>
        </w:rPr>
        <w:annotationRef/>
      </w:r>
      <w:r>
        <w:t>Maybe we say “switch between different configurations”</w:t>
      </w:r>
    </w:p>
  </w:comment>
  <w:comment w:id="65" w:author="Nokia (Tero Henttonen)" w:date="2021-06-01T17:48:00Z" w:initials="Nokia">
    <w:p w14:paraId="68148277" w14:textId="2D3A3922" w:rsidR="00290D70" w:rsidRDefault="00290D70">
      <w:pPr>
        <w:pStyle w:val="CommentText"/>
      </w:pPr>
      <w:r>
        <w:rPr>
          <w:rStyle w:val="CommentReference"/>
        </w:rPr>
        <w:annotationRef/>
      </w:r>
      <w:r>
        <w:t>The wording from MediaTek sounds reasonable, and we could then add "(similar to BWP switching)" to clarify what we think to RAN1. See suggested text inline.</w:t>
      </w:r>
    </w:p>
  </w:comment>
  <w:comment w:id="66" w:author="Ozcan Ozturk" w:date="2021-06-01T08:56:00Z" w:initials="OO">
    <w:p w14:paraId="2D633D37" w14:textId="50A02D84" w:rsidR="00137919" w:rsidRDefault="00137919">
      <w:pPr>
        <w:pStyle w:val="CommentText"/>
      </w:pPr>
      <w:r>
        <w:rPr>
          <w:rStyle w:val="CommentReference"/>
        </w:rPr>
        <w:annotationRef/>
      </w:r>
      <w:r>
        <w:t xml:space="preserve">I don’t think we all assume “similar to BWP switching”. </w:t>
      </w:r>
    </w:p>
  </w:comment>
  <w:comment w:id="67" w:author="Ericsson (Pradeepa Ramachandra)" w:date="2021-06-02T06:13:00Z" w:initials="E">
    <w:p w14:paraId="1CCBAB7E" w14:textId="2043CC8F" w:rsidR="00867C07" w:rsidRDefault="00867C07">
      <w:pPr>
        <w:pStyle w:val="CommentText"/>
      </w:pPr>
      <w:r>
        <w:rPr>
          <w:rStyle w:val="CommentReference"/>
        </w:rPr>
        <w:annotationRef/>
      </w:r>
      <w:r>
        <w:t>We also propose to remove the ‘</w:t>
      </w:r>
      <w:proofErr w:type="gramStart"/>
      <w:r>
        <w:t>similar to</w:t>
      </w:r>
      <w:proofErr w:type="gramEnd"/>
      <w:r>
        <w:t xml:space="preserve"> BWP switching’ reference. This is removed from the final version of the LS that was discussed online based on the comments during the meeting. Now, it seems like the same text is brought back. We would like to remove it.</w:t>
      </w:r>
    </w:p>
  </w:comment>
  <w:comment w:id="80" w:author="Ozcan Ozturk" w:date="2021-06-01T09:00:00Z" w:initials="OO">
    <w:p w14:paraId="110659E2" w14:textId="008E1988" w:rsidR="00137919" w:rsidRDefault="00137919">
      <w:pPr>
        <w:pStyle w:val="CommentText"/>
      </w:pPr>
      <w:r>
        <w:rPr>
          <w:rStyle w:val="CommentReference"/>
        </w:rPr>
        <w:annotationRef/>
      </w:r>
      <w:r>
        <w:t xml:space="preserve">It </w:t>
      </w:r>
      <w:r w:rsidR="000D46AB">
        <w:t>would be useful</w:t>
      </w:r>
      <w:r>
        <w:t xml:space="preserve"> to point out the justification for the preference</w:t>
      </w:r>
      <w:r w:rsidR="000D46AB">
        <w:t>, e.g. RAN2 assumes that this is expected to be more typical deployment.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014FE3D" w15:done="0"/>
  <w15:commentEx w15:paraId="0A94DE01" w15:done="0"/>
  <w15:commentEx w15:paraId="61FF6887" w15:done="0"/>
  <w15:commentEx w15:paraId="7C23B984" w15:done="0"/>
  <w15:commentEx w15:paraId="6DAEF25C" w15:done="0"/>
  <w15:commentEx w15:paraId="3E446619" w15:paraIdParent="6DAEF25C" w15:done="0"/>
  <w15:commentEx w15:paraId="71B52ECF" w15:paraIdParent="6DAEF25C" w15:done="0"/>
  <w15:commentEx w15:paraId="00EF12BC" w15:paraIdParent="6DAEF25C" w15:done="0"/>
  <w15:commentEx w15:paraId="54210E1E" w15:paraIdParent="6DAEF25C" w15:done="0"/>
  <w15:commentEx w15:paraId="15F3E4F5" w15:done="0"/>
  <w15:commentEx w15:paraId="5726B7A3" w15:paraIdParent="15F3E4F5" w15:done="0"/>
  <w15:commentEx w15:paraId="09F547A8" w15:paraIdParent="15F3E4F5" w15:done="0"/>
  <w15:commentEx w15:paraId="6EC932B9" w15:paraIdParent="15F3E4F5" w15:done="0"/>
  <w15:commentEx w15:paraId="640B4F8E" w15:done="0"/>
  <w15:commentEx w15:paraId="7A50EF0F" w15:done="0"/>
  <w15:commentEx w15:paraId="443D0162" w15:done="0"/>
  <w15:commentEx w15:paraId="68148277" w15:paraIdParent="443D0162" w15:done="0"/>
  <w15:commentEx w15:paraId="2D633D37" w15:paraIdParent="443D0162" w15:done="0"/>
  <w15:commentEx w15:paraId="1CCBAB7E" w15:paraIdParent="443D0162" w15:done="0"/>
  <w15:commentEx w15:paraId="11065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F0DE" w16cex:dateUtc="2021-06-01T14:46:00Z"/>
  <w16cex:commentExtensible w16cex:durableId="2460F21E" w16cex:dateUtc="2021-06-01T14:51:00Z"/>
  <w16cex:commentExtensible w16cex:durableId="24607376" w16cex:dateUtc="2021-06-01T15:51:00Z"/>
  <w16cex:commentExtensible w16cex:durableId="2460F090" w16cex:dateUtc="2021-06-01T14:44:00Z"/>
  <w16cex:commentExtensible w16cex:durableId="24607354" w16cex:dateUtc="2021-06-01T15:50:00Z"/>
  <w16cex:commentExtensible w16cex:durableId="24619FEE" w16cex:dateUtc="2021-06-02T04:13:00Z"/>
  <w16cex:commentExtensible w16cex:durableId="2460F135" w16cex:dateUtc="2021-06-01T14:47:00Z"/>
  <w16cex:commentExtensible w16cex:durableId="246073D2" w16cex:dateUtc="2021-06-01T15:52:00Z"/>
  <w16cex:commentExtensible w16cex:durableId="2461A016" w16cex:dateUtc="2021-06-02T04:13:00Z"/>
  <w16cex:commentExtensible w16cex:durableId="2461A187" w16cex:dateUtc="2021-06-02T04:19:00Z"/>
  <w16cex:commentExtensible w16cex:durableId="246074B0" w16cex:dateUtc="2021-06-01T15:56:00Z"/>
  <w16cex:commentExtensible w16cex:durableId="2460F17E" w16cex:dateUtc="2021-06-01T14:48:00Z"/>
  <w16cex:commentExtensible w16cex:durableId="246074D7" w16cex:dateUtc="2021-06-01T15:56:00Z"/>
  <w16cex:commentExtensible w16cex:durableId="2461A022" w16cex:dateUtc="2021-06-02T04:13:00Z"/>
  <w16cex:commentExtensible w16cex:durableId="24607590" w16cex:dateUtc="2021-06-0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4FE3D" w16cid:durableId="2460F0DE"/>
  <w16cid:commentId w16cid:paraId="0A94DE01" w16cid:durableId="2460F21E"/>
  <w16cid:commentId w16cid:paraId="61FF6887" w16cid:durableId="24607376"/>
  <w16cid:commentId w16cid:paraId="7C23B984" w16cid:durableId="2460F032"/>
  <w16cid:commentId w16cid:paraId="6DAEF25C" w16cid:durableId="2460F033"/>
  <w16cid:commentId w16cid:paraId="3E446619" w16cid:durableId="2460F034"/>
  <w16cid:commentId w16cid:paraId="71B52ECF" w16cid:durableId="2460F090"/>
  <w16cid:commentId w16cid:paraId="00EF12BC" w16cid:durableId="24607354"/>
  <w16cid:commentId w16cid:paraId="54210E1E" w16cid:durableId="24619FEE"/>
  <w16cid:commentId w16cid:paraId="15F3E4F5" w16cid:durableId="2460F035"/>
  <w16cid:commentId w16cid:paraId="5726B7A3" w16cid:durableId="2460F135"/>
  <w16cid:commentId w16cid:paraId="09F547A8" w16cid:durableId="246073D2"/>
  <w16cid:commentId w16cid:paraId="6EC932B9" w16cid:durableId="2461A016"/>
  <w16cid:commentId w16cid:paraId="640B4F8E" w16cid:durableId="2461A187"/>
  <w16cid:commentId w16cid:paraId="7A50EF0F" w16cid:durableId="246074B0"/>
  <w16cid:commentId w16cid:paraId="443D0162" w16cid:durableId="2460F036"/>
  <w16cid:commentId w16cid:paraId="68148277" w16cid:durableId="2460F17E"/>
  <w16cid:commentId w16cid:paraId="2D633D37" w16cid:durableId="246074D7"/>
  <w16cid:commentId w16cid:paraId="1CCBAB7E" w16cid:durableId="2461A022"/>
  <w16cid:commentId w16cid:paraId="110659E2" w16cid:durableId="24607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32B15" w14:textId="77777777" w:rsidR="00CE1B42" w:rsidRDefault="00CE1B42">
      <w:r>
        <w:separator/>
      </w:r>
    </w:p>
  </w:endnote>
  <w:endnote w:type="continuationSeparator" w:id="0">
    <w:p w14:paraId="2F8546FB" w14:textId="77777777" w:rsidR="00CE1B42" w:rsidRDefault="00CE1B42">
      <w:r>
        <w:continuationSeparator/>
      </w:r>
    </w:p>
  </w:endnote>
  <w:endnote w:type="continuationNotice" w:id="1">
    <w:p w14:paraId="671FD734" w14:textId="77777777" w:rsidR="00CE1B42" w:rsidRDefault="00CE1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µÈÏß"/>
    <w:panose1 w:val="02010600030101010101"/>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57C4" w14:textId="0CD27CD0" w:rsidR="00813417" w:rsidRDefault="0081341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B5E9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B5E9D">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3835B7" w14:textId="77777777" w:rsidR="00CE1B42" w:rsidRDefault="00CE1B42">
      <w:r>
        <w:separator/>
      </w:r>
    </w:p>
  </w:footnote>
  <w:footnote w:type="continuationSeparator" w:id="0">
    <w:p w14:paraId="09D7012A" w14:textId="77777777" w:rsidR="00CE1B42" w:rsidRDefault="00CE1B42">
      <w:r>
        <w:continuationSeparator/>
      </w:r>
    </w:p>
  </w:footnote>
  <w:footnote w:type="continuationNotice" w:id="1">
    <w:p w14:paraId="74EBC883" w14:textId="77777777" w:rsidR="00CE1B42" w:rsidRDefault="00CE1B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D785F" w14:textId="77777777" w:rsidR="00813417" w:rsidRDefault="008134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David Lecompte)">
    <w15:presenceInfo w15:providerId="None" w15:userId="Huawei (David Lecompte)"/>
  </w15:person>
  <w15:person w15:author="MediaTek (Li-Chuan)">
    <w15:presenceInfo w15:providerId="None" w15:userId="MediaTek (Li-Chuan)"/>
  </w15:person>
  <w15:person w15:author="Nokia (Tero Henttonen)">
    <w15:presenceInfo w15:providerId="None" w15:userId="Nokia (Tero Henttonen)"/>
  </w15:person>
  <w15:person w15:author="Ozcan Ozturk">
    <w15:presenceInfo w15:providerId="AD" w15:userId="S::oozturk@qti.qualcomm.com::633b2326-571e-4fb3-8726-18b63ed4176a"/>
  </w15:person>
  <w15:person w15:author="Ericsson (Pradeepa Ramachandra)">
    <w15:presenceInfo w15:providerId="None" w15:userId="Ericsson (Pradeepa Ramachandra)"/>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A6D"/>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6AB"/>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2F"/>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919"/>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39C"/>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D70"/>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1ED"/>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4F751F"/>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6759"/>
    <w:rsid w:val="00536BF2"/>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3B0"/>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139"/>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C07"/>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3A0"/>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AF"/>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905"/>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5E9D"/>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1B42"/>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70E"/>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95B"/>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CFC"/>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6EA9"/>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3CC"/>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48E"/>
    <w:rPr>
      <w:rFonts w:ascii="Times New Roman" w:hAnsi="Times New Roman"/>
      <w:sz w:val="24"/>
      <w:szCs w:val="24"/>
    </w:rPr>
  </w:style>
  <w:style w:type="paragraph" w:styleId="Heading1">
    <w:name w:val="heading 1"/>
    <w:aliases w:val="H1,h1,Heading 1 3GPP"/>
    <w:next w:val="Normal"/>
    <w:link w:val="Heading1Char"/>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Heading2">
    <w:name w:val="heading 2"/>
    <w:aliases w:val="H2,h2,DO NOT USE_h2,h21,Heading 2 3GPP"/>
    <w:basedOn w:val="Heading1"/>
    <w:next w:val="Normal"/>
    <w:qFormat/>
    <w:rsid w:val="00A52210"/>
    <w:pPr>
      <w:numPr>
        <w:ilvl w:val="1"/>
      </w:numPr>
      <w:pBdr>
        <w:top w:val="none" w:sz="0" w:space="0" w:color="auto"/>
      </w:pBdr>
      <w:spacing w:before="180"/>
      <w:outlineLvl w:val="1"/>
    </w:pPr>
    <w:rPr>
      <w:sz w:val="32"/>
      <w:szCs w:val="32"/>
    </w:rPr>
  </w:style>
  <w:style w:type="paragraph" w:styleId="Heading3">
    <w:name w:val="heading 3"/>
    <w:aliases w:val="Heading 3 3GPP"/>
    <w:basedOn w:val="Heading2"/>
    <w:next w:val="Normal"/>
    <w:qFormat/>
    <w:rsid w:val="00A52210"/>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A52210"/>
    <w:pPr>
      <w:numPr>
        <w:ilvl w:val="3"/>
      </w:numPr>
      <w:outlineLvl w:val="3"/>
    </w:pPr>
    <w:rPr>
      <w:sz w:val="24"/>
      <w:szCs w:val="24"/>
    </w:rPr>
  </w:style>
  <w:style w:type="paragraph" w:styleId="Heading5">
    <w:name w:val="heading 5"/>
    <w:basedOn w:val="Heading4"/>
    <w:next w:val="Normal"/>
    <w:qFormat/>
    <w:rsid w:val="00A52210"/>
    <w:pPr>
      <w:numPr>
        <w:ilvl w:val="4"/>
      </w:numPr>
      <w:outlineLvl w:val="4"/>
    </w:pPr>
    <w:rPr>
      <w:sz w:val="22"/>
      <w:szCs w:val="22"/>
    </w:rPr>
  </w:style>
  <w:style w:type="paragraph" w:styleId="Heading6">
    <w:name w:val="heading 6"/>
    <w:basedOn w:val="Normal"/>
    <w:next w:val="Normal"/>
    <w:qFormat/>
    <w:rsid w:val="00A52210"/>
    <w:pPr>
      <w:keepNext/>
      <w:keepLines/>
      <w:numPr>
        <w:ilvl w:val="5"/>
        <w:numId w:val="1"/>
      </w:numPr>
      <w:spacing w:before="120"/>
      <w:outlineLvl w:val="5"/>
    </w:pPr>
    <w:rPr>
      <w:rFonts w:cs="Arial"/>
    </w:rPr>
  </w:style>
  <w:style w:type="paragraph" w:styleId="Heading7">
    <w:name w:val="heading 7"/>
    <w:basedOn w:val="Normal"/>
    <w:next w:val="Normal"/>
    <w:qFormat/>
    <w:rsid w:val="00A52210"/>
    <w:pPr>
      <w:keepNext/>
      <w:keepLines/>
      <w:numPr>
        <w:ilvl w:val="6"/>
        <w:numId w:val="1"/>
      </w:numPr>
      <w:spacing w:before="120"/>
      <w:outlineLvl w:val="6"/>
    </w:pPr>
    <w:rPr>
      <w:rFonts w:cs="Arial"/>
    </w:rPr>
  </w:style>
  <w:style w:type="paragraph" w:styleId="Heading8">
    <w:name w:val="heading 8"/>
    <w:basedOn w:val="Heading7"/>
    <w:next w:val="Normal"/>
    <w:qFormat/>
    <w:rsid w:val="00A52210"/>
    <w:pPr>
      <w:numPr>
        <w:ilvl w:val="7"/>
      </w:numPr>
      <w:outlineLvl w:val="7"/>
    </w:pPr>
  </w:style>
  <w:style w:type="paragraph" w:styleId="Heading9">
    <w:name w:val="heading 9"/>
    <w:basedOn w:val="Heading8"/>
    <w:next w:val="Normal"/>
    <w:qFormat/>
    <w:rsid w:val="00A5221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2210"/>
    <w:pPr>
      <w:spacing w:before="180"/>
      <w:ind w:left="2693" w:hanging="2693"/>
    </w:pPr>
    <w:rPr>
      <w:b w:val="0"/>
      <w:bCs/>
    </w:rPr>
  </w:style>
  <w:style w:type="paragraph" w:styleId="TOC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52210"/>
    <w:pPr>
      <w:keepNext/>
      <w:keepLines/>
      <w:spacing w:before="180"/>
      <w:jc w:val="center"/>
    </w:pPr>
  </w:style>
  <w:style w:type="paragraph" w:styleId="Caption">
    <w:name w:val="caption"/>
    <w:basedOn w:val="Normal"/>
    <w:next w:val="Normal"/>
    <w:qFormat/>
    <w:rsid w:val="00A52210"/>
    <w:pPr>
      <w:spacing w:after="240"/>
      <w:jc w:val="center"/>
    </w:pPr>
    <w:rPr>
      <w:b/>
      <w:bCs/>
    </w:rPr>
  </w:style>
  <w:style w:type="paragraph" w:styleId="TOC5">
    <w:name w:val="toc 5"/>
    <w:aliases w:val="Observation TOC"/>
    <w:basedOn w:val="TOC4"/>
    <w:semiHidden/>
    <w:rsid w:val="00A52210"/>
    <w:pPr>
      <w:tabs>
        <w:tab w:val="right" w:pos="1701"/>
      </w:tabs>
      <w:ind w:left="1701" w:hanging="1701"/>
    </w:pPr>
  </w:style>
  <w:style w:type="paragraph" w:styleId="TOC4">
    <w:name w:val="toc 4"/>
    <w:basedOn w:val="TOC3"/>
    <w:semiHidden/>
    <w:rsid w:val="00A52210"/>
    <w:pPr>
      <w:ind w:left="1418" w:hanging="1418"/>
    </w:pPr>
  </w:style>
  <w:style w:type="paragraph" w:styleId="TOC3">
    <w:name w:val="toc 3"/>
    <w:basedOn w:val="TOC2"/>
    <w:semiHidden/>
    <w:rsid w:val="00A52210"/>
    <w:pPr>
      <w:ind w:left="1134" w:hanging="1134"/>
    </w:pPr>
  </w:style>
  <w:style w:type="paragraph" w:styleId="TOC2">
    <w:name w:val="toc 2"/>
    <w:basedOn w:val="TOC1"/>
    <w:semiHidden/>
    <w:rsid w:val="00A52210"/>
    <w:pPr>
      <w:keepNext w:val="0"/>
      <w:spacing w:before="0"/>
      <w:ind w:left="851" w:hanging="851"/>
    </w:pPr>
    <w:rPr>
      <w:szCs w:val="20"/>
    </w:rPr>
  </w:style>
  <w:style w:type="paragraph" w:styleId="Index2">
    <w:name w:val="index 2"/>
    <w:basedOn w:val="Index1"/>
    <w:semiHidden/>
    <w:rsid w:val="00A52210"/>
    <w:pPr>
      <w:ind w:left="284"/>
    </w:pPr>
  </w:style>
  <w:style w:type="paragraph" w:styleId="Index1">
    <w:name w:val="index 1"/>
    <w:basedOn w:val="Normal"/>
    <w:semiHidden/>
    <w:rsid w:val="00A52210"/>
    <w:pPr>
      <w:keepLines/>
    </w:pPr>
  </w:style>
  <w:style w:type="paragraph" w:styleId="DocumentMap">
    <w:name w:val="Document Map"/>
    <w:basedOn w:val="Normal"/>
    <w:semiHidden/>
    <w:rsid w:val="00A52210"/>
    <w:pPr>
      <w:shd w:val="clear" w:color="auto" w:fill="000080"/>
    </w:pPr>
    <w:rPr>
      <w:rFonts w:ascii="Tahoma" w:hAnsi="Tahoma" w:cs="Tahoma"/>
    </w:rPr>
  </w:style>
  <w:style w:type="paragraph" w:styleId="ListNumber2">
    <w:name w:val="List Number 2"/>
    <w:basedOn w:val="ListNumber"/>
    <w:rsid w:val="00A52210"/>
    <w:pPr>
      <w:ind w:left="851"/>
    </w:pPr>
  </w:style>
  <w:style w:type="paragraph" w:styleId="ListNumber">
    <w:name w:val="List Number"/>
    <w:basedOn w:val="List"/>
    <w:rsid w:val="00A52210"/>
  </w:style>
  <w:style w:type="paragraph" w:styleId="List">
    <w:name w:val="List"/>
    <w:basedOn w:val="Normal"/>
    <w:rsid w:val="00A52210"/>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52210"/>
    <w:rPr>
      <w:b/>
      <w:bCs/>
      <w:position w:val="6"/>
      <w:sz w:val="16"/>
      <w:szCs w:val="16"/>
    </w:rPr>
  </w:style>
  <w:style w:type="paragraph" w:styleId="FootnoteText">
    <w:name w:val="footnote text"/>
    <w:basedOn w:val="Normal"/>
    <w:semiHidden/>
    <w:rsid w:val="00A52210"/>
    <w:pPr>
      <w:keepLines/>
      <w:ind w:left="454" w:hanging="454"/>
    </w:pPr>
    <w:rPr>
      <w:sz w:val="16"/>
      <w:szCs w:val="16"/>
    </w:rPr>
  </w:style>
  <w:style w:type="paragraph" w:customStyle="1" w:styleId="3GPPHeader">
    <w:name w:val="3GPP_Header"/>
    <w:basedOn w:val="Normal"/>
    <w:rsid w:val="00A52210"/>
    <w:pPr>
      <w:tabs>
        <w:tab w:val="left" w:pos="1701"/>
        <w:tab w:val="right" w:pos="9639"/>
      </w:tabs>
      <w:spacing w:after="240"/>
    </w:pPr>
    <w:rPr>
      <w:b/>
    </w:rPr>
  </w:style>
  <w:style w:type="paragraph" w:styleId="TOC9">
    <w:name w:val="toc 9"/>
    <w:basedOn w:val="TOC8"/>
    <w:semiHidden/>
    <w:rsid w:val="00A52210"/>
    <w:pPr>
      <w:ind w:left="1418" w:hanging="1418"/>
    </w:pPr>
  </w:style>
  <w:style w:type="paragraph" w:styleId="TOC6">
    <w:name w:val="toc 6"/>
    <w:basedOn w:val="TOC5"/>
    <w:next w:val="Normal"/>
    <w:semiHidden/>
    <w:rsid w:val="00A52210"/>
    <w:pPr>
      <w:ind w:left="1985" w:hanging="1985"/>
    </w:pPr>
  </w:style>
  <w:style w:type="paragraph" w:styleId="TOC7">
    <w:name w:val="toc 7"/>
    <w:basedOn w:val="TOC6"/>
    <w:next w:val="Normal"/>
    <w:semiHidden/>
    <w:rsid w:val="00A52210"/>
    <w:pPr>
      <w:ind w:left="2268" w:hanging="2268"/>
    </w:pPr>
  </w:style>
  <w:style w:type="paragraph" w:styleId="ListBullet2">
    <w:name w:val="List Bullet 2"/>
    <w:basedOn w:val="ListBullet"/>
    <w:rsid w:val="00A52210"/>
    <w:pPr>
      <w:numPr>
        <w:numId w:val="6"/>
      </w:numPr>
    </w:pPr>
  </w:style>
  <w:style w:type="paragraph" w:styleId="ListBullet">
    <w:name w:val="List Bullet"/>
    <w:basedOn w:val="BodyText"/>
    <w:rsid w:val="00A52210"/>
    <w:pPr>
      <w:numPr>
        <w:numId w:val="5"/>
      </w:numPr>
    </w:pPr>
  </w:style>
  <w:style w:type="paragraph" w:styleId="ListBullet3">
    <w:name w:val="List Bullet 3"/>
    <w:basedOn w:val="ListBullet2"/>
    <w:rsid w:val="00A52210"/>
    <w:pPr>
      <w:numPr>
        <w:numId w:val="7"/>
      </w:numPr>
    </w:pPr>
  </w:style>
  <w:style w:type="paragraph" w:customStyle="1" w:styleId="EQ">
    <w:name w:val="EQ"/>
    <w:basedOn w:val="Normal"/>
    <w:next w:val="Normal"/>
    <w:rsid w:val="00A52210"/>
    <w:pPr>
      <w:keepLines/>
      <w:tabs>
        <w:tab w:val="center" w:pos="4536"/>
        <w:tab w:val="right" w:pos="9072"/>
      </w:tabs>
      <w:spacing w:after="180"/>
    </w:pPr>
    <w:rPr>
      <w:noProof/>
      <w:lang w:eastAsia="en-US"/>
    </w:rPr>
  </w:style>
  <w:style w:type="paragraph" w:styleId="List2">
    <w:name w:val="List 2"/>
    <w:basedOn w:val="List"/>
    <w:rsid w:val="00A52210"/>
    <w:pPr>
      <w:ind w:left="851"/>
    </w:pPr>
  </w:style>
  <w:style w:type="paragraph" w:styleId="List3">
    <w:name w:val="List 3"/>
    <w:basedOn w:val="List2"/>
    <w:rsid w:val="00A52210"/>
    <w:pPr>
      <w:ind w:left="1135"/>
    </w:pPr>
  </w:style>
  <w:style w:type="paragraph" w:styleId="List4">
    <w:name w:val="List 4"/>
    <w:basedOn w:val="List3"/>
    <w:rsid w:val="00A52210"/>
    <w:pPr>
      <w:ind w:left="1418"/>
    </w:pPr>
  </w:style>
  <w:style w:type="paragraph" w:styleId="List5">
    <w:name w:val="List 5"/>
    <w:basedOn w:val="List4"/>
    <w:rsid w:val="00A52210"/>
    <w:pPr>
      <w:ind w:left="1702"/>
    </w:pPr>
  </w:style>
  <w:style w:type="paragraph" w:customStyle="1" w:styleId="EditorsNote">
    <w:name w:val="Editor's Note"/>
    <w:basedOn w:val="Normal"/>
    <w:rsid w:val="00A52210"/>
    <w:pPr>
      <w:keepLines/>
      <w:spacing w:after="180"/>
      <w:ind w:left="1135" w:hanging="851"/>
    </w:pPr>
    <w:rPr>
      <w:color w:val="FF0000"/>
      <w:lang w:eastAsia="en-US"/>
    </w:rPr>
  </w:style>
  <w:style w:type="paragraph" w:styleId="ListBullet4">
    <w:name w:val="List Bullet 4"/>
    <w:basedOn w:val="ListBullet3"/>
    <w:rsid w:val="00A52210"/>
    <w:pPr>
      <w:numPr>
        <w:numId w:val="8"/>
      </w:numPr>
    </w:pPr>
  </w:style>
  <w:style w:type="paragraph" w:styleId="ListBullet5">
    <w:name w:val="List Bullet 5"/>
    <w:basedOn w:val="ListBullet4"/>
    <w:rsid w:val="00A52210"/>
    <w:pPr>
      <w:numPr>
        <w:numId w:val="4"/>
      </w:numPr>
    </w:pPr>
  </w:style>
  <w:style w:type="paragraph" w:styleId="Footer">
    <w:name w:val="footer"/>
    <w:basedOn w:val="Header"/>
    <w:semiHidden/>
    <w:rsid w:val="00A52210"/>
    <w:pPr>
      <w:jc w:val="center"/>
    </w:pPr>
    <w:rPr>
      <w:i/>
      <w:iCs/>
    </w:rPr>
  </w:style>
  <w:style w:type="paragraph" w:customStyle="1" w:styleId="Reference">
    <w:name w:val="Reference"/>
    <w:basedOn w:val="Normal"/>
    <w:rsid w:val="00A52210"/>
    <w:pPr>
      <w:numPr>
        <w:numId w:val="2"/>
      </w:numPr>
    </w:pPr>
  </w:style>
  <w:style w:type="paragraph" w:styleId="BalloonText">
    <w:name w:val="Balloon Text"/>
    <w:basedOn w:val="Normal"/>
    <w:semiHidden/>
    <w:rsid w:val="00A52210"/>
    <w:rPr>
      <w:rFonts w:ascii="Tahoma" w:hAnsi="Tahoma" w:cs="Tahoma"/>
      <w:sz w:val="16"/>
      <w:szCs w:val="16"/>
    </w:rPr>
  </w:style>
  <w:style w:type="character" w:styleId="PageNumber">
    <w:name w:val="page number"/>
    <w:semiHidden/>
    <w:rsid w:val="00A52210"/>
  </w:style>
  <w:style w:type="paragraph" w:styleId="BodyText">
    <w:name w:val="Body Text"/>
    <w:basedOn w:val="Normal"/>
    <w:link w:val="BodyTextChar"/>
    <w:rsid w:val="00A52210"/>
  </w:style>
  <w:style w:type="character" w:styleId="Hyperlink">
    <w:name w:val="Hyperlink"/>
    <w:uiPriority w:val="99"/>
    <w:rsid w:val="00A52210"/>
    <w:rPr>
      <w:color w:val="0000FF"/>
      <w:u w:val="single"/>
      <w:lang w:val="en-GB"/>
    </w:rPr>
  </w:style>
  <w:style w:type="character" w:styleId="FollowedHyperlink">
    <w:name w:val="FollowedHyperlink"/>
    <w:semiHidden/>
    <w:rsid w:val="00A52210"/>
    <w:rPr>
      <w:color w:val="FF0000"/>
      <w:u w:val="single"/>
    </w:rPr>
  </w:style>
  <w:style w:type="character" w:styleId="CommentReference">
    <w:name w:val="annotation reference"/>
    <w:semiHidden/>
    <w:rsid w:val="00A52210"/>
    <w:rPr>
      <w:sz w:val="16"/>
      <w:szCs w:val="16"/>
    </w:rPr>
  </w:style>
  <w:style w:type="paragraph" w:styleId="CommentText">
    <w:name w:val="annotation text"/>
    <w:basedOn w:val="Normal"/>
    <w:semiHidden/>
    <w:rsid w:val="00A52210"/>
  </w:style>
  <w:style w:type="paragraph" w:styleId="CommentSubject">
    <w:name w:val="annotation subject"/>
    <w:basedOn w:val="CommentText"/>
    <w:next w:val="CommentText"/>
    <w:semiHidden/>
    <w:rsid w:val="00A52210"/>
    <w:rPr>
      <w:b/>
      <w:bCs/>
    </w:rPr>
  </w:style>
  <w:style w:type="character" w:customStyle="1" w:styleId="Heading1Char">
    <w:name w:val="Heading 1 Char"/>
    <w:aliases w:val="H1 Char,h1 Char,Heading 1 3GPP Char"/>
    <w:link w:val="Heading1"/>
    <w:rsid w:val="00FB330B"/>
    <w:rPr>
      <w:rFonts w:ascii="Times New Roman" w:hAnsi="Times New Roman"/>
      <w:sz w:val="36"/>
      <w:szCs w:val="36"/>
      <w:lang w:eastAsia="zh-CN"/>
    </w:rPr>
  </w:style>
  <w:style w:type="paragraph" w:customStyle="1" w:styleId="B1">
    <w:name w:val="B1"/>
    <w:basedOn w:val="List"/>
    <w:rsid w:val="00A52210"/>
    <w:pPr>
      <w:spacing w:after="180"/>
    </w:pPr>
    <w:rPr>
      <w:lang w:eastAsia="en-US"/>
    </w:rPr>
  </w:style>
  <w:style w:type="paragraph" w:customStyle="1" w:styleId="B2">
    <w:name w:val="B2"/>
    <w:basedOn w:val="List2"/>
    <w:rsid w:val="00A52210"/>
    <w:pPr>
      <w:spacing w:after="180"/>
    </w:pPr>
    <w:rPr>
      <w:lang w:eastAsia="en-US"/>
    </w:rPr>
  </w:style>
  <w:style w:type="paragraph" w:customStyle="1" w:styleId="B3">
    <w:name w:val="B3"/>
    <w:basedOn w:val="List3"/>
    <w:rsid w:val="00A52210"/>
    <w:pPr>
      <w:spacing w:after="180"/>
    </w:pPr>
    <w:rPr>
      <w:lang w:eastAsia="en-US"/>
    </w:rPr>
  </w:style>
  <w:style w:type="paragraph" w:customStyle="1" w:styleId="B4">
    <w:name w:val="B4"/>
    <w:basedOn w:val="List4"/>
    <w:rsid w:val="00A52210"/>
    <w:pPr>
      <w:spacing w:after="180"/>
    </w:pPr>
    <w:rPr>
      <w:lang w:eastAsia="en-US"/>
    </w:rPr>
  </w:style>
  <w:style w:type="paragraph" w:customStyle="1" w:styleId="Proposal">
    <w:name w:val="Proposal"/>
    <w:basedOn w:val="Normal"/>
    <w:link w:val="ProposalChar"/>
    <w:qFormat/>
    <w:rsid w:val="00570F99"/>
    <w:pPr>
      <w:numPr>
        <w:numId w:val="3"/>
      </w:numPr>
      <w:tabs>
        <w:tab w:val="clear" w:pos="9242"/>
        <w:tab w:val="left" w:pos="1701"/>
      </w:tabs>
      <w:ind w:left="1701" w:hanging="1701"/>
    </w:pPr>
    <w:rPr>
      <w:b/>
      <w:bCs/>
    </w:rPr>
  </w:style>
  <w:style w:type="character" w:customStyle="1" w:styleId="BodyTextChar">
    <w:name w:val="Body Text Char"/>
    <w:link w:val="BodyText"/>
    <w:rsid w:val="00A52210"/>
    <w:rPr>
      <w:rFonts w:ascii="Arial" w:hAnsi="Arial"/>
      <w:lang w:val="en-GB" w:eastAsia="zh-CN"/>
    </w:rPr>
  </w:style>
  <w:style w:type="paragraph" w:customStyle="1" w:styleId="B5">
    <w:name w:val="B5"/>
    <w:basedOn w:val="List5"/>
    <w:rsid w:val="00A52210"/>
    <w:pPr>
      <w:spacing w:after="180"/>
    </w:pPr>
    <w:rPr>
      <w:lang w:eastAsia="en-US"/>
    </w:rPr>
  </w:style>
  <w:style w:type="paragraph" w:customStyle="1" w:styleId="EX">
    <w:name w:val="EX"/>
    <w:basedOn w:val="Normal"/>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Normal"/>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Normal"/>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Heading1"/>
    <w:next w:val="Normal"/>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Normal"/>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TableofFigures">
    <w:name w:val="table of figures"/>
    <w:basedOn w:val="Normal"/>
    <w:next w:val="Normal"/>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NormalWeb">
    <w:name w:val="Normal (Web)"/>
    <w:basedOn w:val="Normal"/>
    <w:uiPriority w:val="99"/>
    <w:unhideWhenUsed/>
    <w:rsid w:val="00FC14D6"/>
    <w:pPr>
      <w:spacing w:before="100" w:beforeAutospacing="1" w:after="100" w:afterAutospacing="1"/>
    </w:pPr>
    <w:rPr>
      <w:lang w:eastAsia="en-US"/>
    </w:rPr>
  </w:style>
  <w:style w:type="table" w:styleId="TableGrid">
    <w:name w:val="Table Grid"/>
    <w:basedOn w:val="TableNormal"/>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NormalIndent">
    <w:name w:val="Normal Indent"/>
    <w:basedOn w:val="Normal"/>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NoteHeading">
    <w:name w:val="Note Heading"/>
    <w:basedOn w:val="Normal"/>
    <w:next w:val="Normal"/>
    <w:link w:val="NoteHeadingChar"/>
    <w:rsid w:val="00D87003"/>
  </w:style>
  <w:style w:type="character" w:customStyle="1" w:styleId="NoteHeadingChar">
    <w:name w:val="Note Heading Char"/>
    <w:link w:val="NoteHeading"/>
    <w:rsid w:val="00D87003"/>
    <w:rPr>
      <w:rFonts w:ascii="Arial" w:hAnsi="Arial"/>
      <w:lang w:val="en-GB" w:eastAsia="zh-CN"/>
    </w:rPr>
  </w:style>
  <w:style w:type="paragraph" w:customStyle="1" w:styleId="MediumList2-Accent41">
    <w:name w:val="Medium List 2 - Accent 41"/>
    <w:basedOn w:val="Normal"/>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Normal"/>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TableProfessional">
    <w:name w:val="Table Professional"/>
    <w:basedOn w:val="TableNormal"/>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3">
    <w:name w:val="Table Simple 3"/>
    <w:basedOn w:val="TableNormal"/>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imple2">
    <w:name w:val="Table Simple 2"/>
    <w:basedOn w:val="TableNormal"/>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Normal"/>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Normal"/>
    <w:link w:val="LightGrid-Accent3Char"/>
    <w:uiPriority w:val="34"/>
    <w:qFormat/>
    <w:rsid w:val="0071736A"/>
    <w:pPr>
      <w:ind w:leftChars="400" w:left="840" w:hanging="720"/>
    </w:pPr>
    <w:rPr>
      <w:rFonts w:ascii="Times" w:eastAsia="Batang"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Batang" w:hAnsi="Times"/>
      <w:szCs w:val="24"/>
      <w:lang w:val="en-GB" w:eastAsia="x-none"/>
    </w:rPr>
  </w:style>
  <w:style w:type="table" w:styleId="TableGrid5">
    <w:name w:val="Table Grid 5"/>
    <w:basedOn w:val="TableNormal"/>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Theme">
    <w:name w:val="Table Theme"/>
    <w:basedOn w:val="TableNormal"/>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D3A66"/>
    <w:rPr>
      <w:rFonts w:ascii="Arial" w:hAnsi="Arial" w:cs="Arial"/>
      <w:b/>
      <w:bCs/>
      <w:noProof/>
      <w:sz w:val="18"/>
      <w:szCs w:val="18"/>
    </w:rPr>
  </w:style>
  <w:style w:type="paragraph" w:styleId="Subtitle">
    <w:name w:val="Subtitle"/>
    <w:basedOn w:val="Normal"/>
    <w:next w:val="Normal"/>
    <w:link w:val="SubtitleChar"/>
    <w:qFormat/>
    <w:rsid w:val="005B1EC6"/>
    <w:pPr>
      <w:spacing w:after="60"/>
      <w:jc w:val="center"/>
      <w:outlineLvl w:val="1"/>
    </w:pPr>
    <w:rPr>
      <w:rFonts w:ascii="Calibri Light" w:eastAsia="DengXian Light" w:hAnsi="Calibri Light"/>
    </w:rPr>
  </w:style>
  <w:style w:type="character" w:customStyle="1" w:styleId="SubtitleChar">
    <w:name w:val="Subtitle Char"/>
    <w:link w:val="Subtitle"/>
    <w:rsid w:val="005B1EC6"/>
    <w:rPr>
      <w:rFonts w:ascii="Calibri Light" w:eastAsia="DengXian Light" w:hAnsi="Calibri Light" w:cs="Times New Roman"/>
      <w:sz w:val="24"/>
      <w:szCs w:val="24"/>
      <w:lang w:eastAsia="ko-KR"/>
    </w:rPr>
  </w:style>
  <w:style w:type="paragraph" w:styleId="Title">
    <w:name w:val="Title"/>
    <w:basedOn w:val="Normal"/>
    <w:next w:val="Normal"/>
    <w:link w:val="TitleChar"/>
    <w:qFormat/>
    <w:rsid w:val="005B1EC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5B1EC6"/>
    <w:rPr>
      <w:rFonts w:ascii="Calibri Light" w:eastAsia="DengXian Light" w:hAnsi="Calibri Light" w:cs="Times New Roman"/>
      <w:b/>
      <w:bCs/>
      <w:kern w:val="28"/>
      <w:sz w:val="32"/>
      <w:szCs w:val="32"/>
      <w:lang w:eastAsia="ko-KR"/>
    </w:rPr>
  </w:style>
  <w:style w:type="paragraph" w:styleId="ListNumber3">
    <w:name w:val="List Number 3"/>
    <w:basedOn w:val="Normal"/>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Normal"/>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Normal"/>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Revision">
    <w:name w:val="Revision"/>
    <w:hidden/>
    <w:uiPriority w:val="62"/>
    <w:rsid w:val="00E5488B"/>
    <w:rPr>
      <w:rFonts w:ascii="Times New Roman" w:hAnsi="Times New Roman"/>
      <w:sz w:val="24"/>
      <w:szCs w:val="24"/>
    </w:rPr>
  </w:style>
  <w:style w:type="paragraph" w:customStyle="1" w:styleId="DECISION">
    <w:name w:val="DECISION"/>
    <w:basedOn w:val="Normal"/>
    <w:rsid w:val="00485BEE"/>
    <w:pPr>
      <w:widowControl w:val="0"/>
      <w:numPr>
        <w:numId w:val="11"/>
      </w:numPr>
      <w:spacing w:before="120" w:after="120"/>
      <w:jc w:val="both"/>
    </w:pPr>
    <w:rPr>
      <w:rFonts w:ascii="Arial" w:eastAsia="Batang" w:hAnsi="Arial"/>
      <w:b/>
      <w:color w:val="0000FF"/>
      <w:sz w:val="20"/>
      <w:szCs w:val="20"/>
      <w:u w:val="single"/>
      <w:lang w:val="en-GB" w:eastAsia="en-US"/>
    </w:rPr>
  </w:style>
  <w:style w:type="paragraph" w:customStyle="1" w:styleId="Agreement">
    <w:name w:val="Agreement"/>
    <w:basedOn w:val="Normal"/>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Emphasis">
    <w:name w:val="Emphasis"/>
    <w:uiPriority w:val="20"/>
    <w:qFormat/>
    <w:rsid w:val="00B912EA"/>
    <w:rPr>
      <w:i/>
      <w:iCs/>
    </w:rPr>
  </w:style>
  <w:style w:type="paragraph" w:customStyle="1" w:styleId="IvDbodytext">
    <w:name w:val="IvD bodytext"/>
    <w:basedOn w:val="BodyText"/>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DengXian" w:hAnsi="Arial"/>
      <w:spacing w:val="2"/>
      <w:lang w:eastAsia="zh-CN"/>
    </w:rPr>
  </w:style>
  <w:style w:type="character" w:customStyle="1" w:styleId="IvDbodytextChar">
    <w:name w:val="IvD bodytext Char"/>
    <w:link w:val="IvDbodytext"/>
    <w:rsid w:val="008D02F7"/>
    <w:rPr>
      <w:rFonts w:ascii="Arial" w:eastAsia="DengXian"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Normal"/>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3.xml><?xml version="1.0" encoding="utf-8"?>
<ds:datastoreItem xmlns:ds="http://schemas.openxmlformats.org/officeDocument/2006/customXml" ds:itemID="{AFA80407-3CC8-4ED3-81DD-A633DBEB0404}">
  <ds:schemaRefs>
    <ds:schemaRef ds:uri="Microsoft.SharePoint.Taxonomy.ContentTypeSync"/>
  </ds:schemaRefs>
</ds:datastoreItem>
</file>

<file path=customXml/itemProps4.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5.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719616-1463-48EC-A239-8C968C483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15</TotalTime>
  <Pages>5</Pages>
  <Words>2206</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Ericsson (Pradeepa Ramachandra)</cp:lastModifiedBy>
  <cp:revision>5</cp:revision>
  <cp:lastPrinted>2008-01-30T23:09:00Z</cp:lastPrinted>
  <dcterms:created xsi:type="dcterms:W3CDTF">2021-06-01T16:05:00Z</dcterms:created>
  <dcterms:modified xsi:type="dcterms:W3CDTF">2021-06-02T04:25:00Z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y fmtid="{D5CDD505-2E9C-101B-9397-08002B2CF9AE}" pid="9" name="CWM3d356f4e03764e299108fc61d42643b5">
    <vt:lpwstr>CWM8TFBzoh/JULwk3DAQKDliXBb+0IG4hzD0qfDVItMW9IsPyz4mpTApm5rOWlWM9jE/Bjt6UCK7IZBFptbFhWfEQ==</vt:lpwstr>
  </property>
</Properties>
</file>