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4E6B49BD"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146B57">
        <w:rPr>
          <w:b/>
          <w:i/>
          <w:noProof/>
          <w:sz w:val="28"/>
        </w:rPr>
        <w:t>0xxxxx</w:t>
      </w:r>
    </w:p>
    <w:p w14:paraId="5E27FDBB" w14:textId="6A2D4788" w:rsidR="00216A32" w:rsidRDefault="00164447" w:rsidP="00216A32">
      <w:pPr>
        <w:pStyle w:val="CRCoverPage"/>
        <w:outlineLvl w:val="0"/>
        <w:rPr>
          <w:b/>
          <w:noProof/>
          <w:sz w:val="24"/>
        </w:rPr>
      </w:pPr>
      <w:fldSimple w:instr=" DOCPROPERTY  Location  \* MERGEFORMAT ">
        <w:r w:rsidR="00216A32">
          <w:rPr>
            <w:b/>
            <w:noProof/>
            <w:sz w:val="24"/>
          </w:rPr>
          <w:t>Electronic Meeting</w:t>
        </w:r>
      </w:fldSimple>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0D0B10">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77777777" w:rsidR="00216A32" w:rsidRPr="00410371" w:rsidRDefault="00164447" w:rsidP="00341F8C">
            <w:pPr>
              <w:pStyle w:val="CRCoverPage"/>
              <w:spacing w:after="0"/>
              <w:jc w:val="right"/>
              <w:rPr>
                <w:b/>
                <w:noProof/>
                <w:sz w:val="28"/>
              </w:rPr>
            </w:pPr>
            <w:fldSimple w:instr=" DOCPROPERTY  Spec#  \* MERGEFORMAT ">
              <w:r w:rsidR="00216A32">
                <w:rPr>
                  <w:b/>
                  <w:noProof/>
                  <w:sz w:val="28"/>
                </w:rPr>
                <w:t>36.331</w:t>
              </w:r>
            </w:fldSimple>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7B897735" w:rsidR="00216A32" w:rsidRPr="00900EEB" w:rsidRDefault="00D27797" w:rsidP="00341F8C">
            <w:pPr>
              <w:pStyle w:val="CRCoverPage"/>
              <w:spacing w:after="0"/>
              <w:rPr>
                <w:b/>
                <w:bCs/>
                <w:noProof/>
              </w:rPr>
            </w:pPr>
            <w:r>
              <w:rPr>
                <w:b/>
                <w:bCs/>
                <w:noProof/>
                <w:sz w:val="28"/>
                <w:szCs w:val="28"/>
              </w:rPr>
              <w:t>4681</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164447" w:rsidP="00341F8C">
            <w:pPr>
              <w:pStyle w:val="CRCoverPage"/>
              <w:spacing w:after="0"/>
              <w:jc w:val="center"/>
              <w:rPr>
                <w:b/>
                <w:noProof/>
              </w:rPr>
            </w:pPr>
            <w:fldSimple w:instr=" DOCPROPERTY  Revision  \* MERGEFORMAT ">
              <w:r w:rsidR="00216A32">
                <w:rPr>
                  <w:b/>
                  <w:noProof/>
                  <w:sz w:val="28"/>
                </w:rPr>
                <w:t>-</w:t>
              </w:r>
            </w:fldSimple>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5611EE32" w:rsidR="00216A32" w:rsidRPr="00410371" w:rsidRDefault="00164447" w:rsidP="00341F8C">
            <w:pPr>
              <w:pStyle w:val="CRCoverPage"/>
              <w:spacing w:after="0"/>
              <w:jc w:val="center"/>
              <w:rPr>
                <w:noProof/>
                <w:sz w:val="28"/>
              </w:rPr>
            </w:pPr>
            <w:fldSimple w:instr=" DOCPROPERTY  Version  \* MERGEFORMAT ">
              <w:r w:rsidR="00216A32">
                <w:rPr>
                  <w:b/>
                  <w:noProof/>
                  <w:sz w:val="28"/>
                </w:rPr>
                <w:t>1</w:t>
              </w:r>
              <w:r w:rsidR="005228FB">
                <w:rPr>
                  <w:b/>
                  <w:noProof/>
                  <w:sz w:val="28"/>
                </w:rPr>
                <w:t>6</w:t>
              </w:r>
              <w:r w:rsidR="00216A32">
                <w:rPr>
                  <w:b/>
                  <w:noProof/>
                  <w:sz w:val="28"/>
                </w:rPr>
                <w:t>.</w:t>
              </w:r>
              <w:r w:rsidR="005228FB">
                <w:rPr>
                  <w:b/>
                  <w:noProof/>
                  <w:sz w:val="28"/>
                </w:rPr>
                <w:t>4</w:t>
              </w:r>
              <w:r w:rsidR="00216A32">
                <w:rPr>
                  <w:b/>
                  <w:noProof/>
                  <w:sz w:val="28"/>
                </w:rPr>
                <w:t>.</w:t>
              </w:r>
            </w:fldSimple>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61E0CB55" w:rsidR="00216A32" w:rsidRDefault="007677B5" w:rsidP="00341F8C">
            <w:pPr>
              <w:pStyle w:val="CRCoverPage"/>
              <w:spacing w:after="0"/>
              <w:ind w:left="100"/>
              <w:rPr>
                <w:noProof/>
              </w:rPr>
            </w:pPr>
            <w:r w:rsidRPr="003D539C">
              <w:t xml:space="preserve">Clarification on RRC full config for </w:t>
            </w:r>
            <w:r w:rsidR="00B057B0">
              <w:t>PSCell change</w:t>
            </w:r>
            <w:bookmarkStart w:id="1" w:name="_GoBack"/>
            <w:bookmarkEnd w:id="1"/>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61882F6" w:rsidR="00216A32" w:rsidRDefault="007677B5" w:rsidP="00341F8C">
            <w:pPr>
              <w:pStyle w:val="CRCoverPage"/>
              <w:spacing w:after="0"/>
              <w:ind w:left="100"/>
              <w:rPr>
                <w:noProof/>
              </w:rPr>
            </w:pPr>
            <w:r>
              <w:rPr>
                <w:noProof/>
              </w:rPr>
              <w:t xml:space="preserve">NTTDOCOMO INC., Ericsson, Nokia, </w:t>
            </w:r>
            <w:r w:rsidRPr="003D539C">
              <w:t>Nokia Shanghai Bell</w:t>
            </w:r>
            <w:r w:rsidR="001D377B">
              <w:t xml:space="preserve">, Fujitsu, </w:t>
            </w:r>
            <w:r w:rsidR="001D377B" w:rsidRPr="001D377B">
              <w:t>ZTE Corporation, Sanechips</w:t>
            </w:r>
            <w:r w:rsidR="004D6DF3">
              <w:t>, Huawei, HiSilicon</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164447" w:rsidP="00341F8C">
            <w:pPr>
              <w:pStyle w:val="CRCoverPage"/>
              <w:spacing w:after="0"/>
              <w:ind w:left="100"/>
              <w:rPr>
                <w:noProof/>
              </w:rPr>
            </w:pPr>
            <w:fldSimple w:instr=" DOCPROPERTY  ResDate  \* MERGEFORMAT ">
              <w:r w:rsidR="00216A32">
                <w:rPr>
                  <w:noProof/>
                </w:rPr>
                <w:t>2021-05-</w:t>
              </w:r>
            </w:fldSimple>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5D5F98DC" w:rsidR="00216A32" w:rsidRPr="005228FB" w:rsidRDefault="005228FB" w:rsidP="00341F8C">
            <w:pPr>
              <w:pStyle w:val="CRCoverPage"/>
              <w:spacing w:after="0"/>
              <w:ind w:left="100" w:right="-609"/>
              <w:rPr>
                <w:b/>
                <w:noProof/>
              </w:rPr>
            </w:pPr>
            <w:r w:rsidRPr="005228FB">
              <w:rPr>
                <w:b/>
              </w:rPr>
              <w:t>A</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115FE05C" w:rsidR="00216A32" w:rsidRDefault="00216A32" w:rsidP="00341F8C">
            <w:pPr>
              <w:pStyle w:val="CRCoverPage"/>
              <w:spacing w:after="0"/>
              <w:ind w:left="100"/>
              <w:rPr>
                <w:noProof/>
              </w:rPr>
            </w:pPr>
            <w:r>
              <w:t>Rel-1</w:t>
            </w:r>
            <w:r w:rsidR="008161EE">
              <w:t>6</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2B9D2221"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w:t>
            </w:r>
            <w:r w:rsidR="00B94655">
              <w:rPr>
                <w:noProof/>
              </w:rPr>
              <w:t>.</w:t>
            </w:r>
          </w:p>
          <w:p w14:paraId="16921401" w14:textId="7D1637C3" w:rsidR="00411D56" w:rsidRDefault="00411D56" w:rsidP="007677B5">
            <w:pPr>
              <w:pStyle w:val="CRCoverPage"/>
              <w:spacing w:after="0"/>
              <w:ind w:left="100"/>
              <w:rPr>
                <w:noProof/>
              </w:rPr>
            </w:pPr>
          </w:p>
          <w:p w14:paraId="3D513851" w14:textId="77777777" w:rsidR="00B94655" w:rsidRPr="00CC3780" w:rsidRDefault="00B94655" w:rsidP="00B94655">
            <w:pPr>
              <w:pStyle w:val="CRCoverPage"/>
              <w:spacing w:after="0"/>
              <w:ind w:left="100"/>
              <w:rPr>
                <w:noProof/>
              </w:rPr>
            </w:pPr>
            <w:r>
              <w:rPr>
                <w:noProof/>
              </w:rPr>
              <w:t>However, in the SN modification case, since the PDCP termination point is not changed for intra-CU inter-DU PSCell change, there is typically no need to release the SN terminated RBs.</w:t>
            </w:r>
          </w:p>
          <w:p w14:paraId="6FEA57E2" w14:textId="77777777" w:rsidR="00B94655" w:rsidRDefault="00B94655" w:rsidP="00B94655">
            <w:pPr>
              <w:pStyle w:val="CRCoverPage"/>
              <w:spacing w:after="0"/>
              <w:rPr>
                <w:noProof/>
              </w:rPr>
            </w:pPr>
          </w:p>
          <w:p w14:paraId="530F3EBB" w14:textId="0C3A7EDA" w:rsidR="002756A8" w:rsidRPr="002756A8" w:rsidRDefault="00B94655" w:rsidP="00B94655">
            <w:pPr>
              <w:pStyle w:val="CRCoverPage"/>
              <w:spacing w:after="0"/>
              <w:ind w:left="100"/>
              <w:rPr>
                <w:noProof/>
              </w:rPr>
            </w:pPr>
            <w:r>
              <w:rPr>
                <w:rFonts w:eastAsiaTheme="minorEastAsia" w:hint="eastAsia"/>
                <w:noProof/>
                <w:lang w:eastAsia="ja-JP"/>
              </w:rPr>
              <w:t>Therefore, it should be clari</w:t>
            </w:r>
            <w:r>
              <w:rPr>
                <w:rFonts w:eastAsiaTheme="minorEastAsia"/>
                <w:noProof/>
                <w:lang w:eastAsia="ja-JP"/>
              </w:rPr>
              <w:t>fied that the current Note refers to the handover and SN change cases but not the SN modification case.</w:t>
            </w: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A4AE4" w14:textId="109FF7D5" w:rsidR="00B94655" w:rsidRPr="00C21527" w:rsidRDefault="00B94655" w:rsidP="00B94655">
            <w:pPr>
              <w:pStyle w:val="NO"/>
              <w:ind w:leftChars="50" w:left="100" w:firstLine="0"/>
              <w:rPr>
                <w:rFonts w:eastAsiaTheme="minorEastAsia"/>
                <w:noProof/>
              </w:rPr>
            </w:pPr>
            <w:r>
              <w:rPr>
                <w:rFonts w:ascii="Arial" w:hAnsi="Arial"/>
                <w:noProof/>
                <w:lang w:eastAsia="en-US"/>
              </w:rPr>
              <w:t>Add “during handover or SN change</w:t>
            </w:r>
            <w:r w:rsidRPr="00C21527">
              <w:rPr>
                <w:rFonts w:ascii="Arial" w:hAnsi="Arial"/>
                <w:noProof/>
                <w:lang w:eastAsia="en-US"/>
              </w:rPr>
              <w:t xml:space="preserve">” in the following NOTE1, and </w:t>
            </w:r>
            <w:r>
              <w:rPr>
                <w:rFonts w:ascii="Arial" w:hAnsi="Arial"/>
                <w:noProof/>
                <w:lang w:eastAsia="en-US"/>
              </w:rPr>
              <w:t>the</w:t>
            </w:r>
            <w:r w:rsidRPr="00C21527">
              <w:rPr>
                <w:rFonts w:ascii="Arial" w:hAnsi="Arial"/>
                <w:noProof/>
                <w:lang w:eastAsia="en-US"/>
              </w:rPr>
              <w:t xml:space="preserve"> network behavior </w:t>
            </w:r>
            <w:r>
              <w:rPr>
                <w:rFonts w:ascii="Arial" w:hAnsi="Arial"/>
                <w:noProof/>
                <w:lang w:eastAsia="en-US"/>
              </w:rPr>
              <w:t xml:space="preserve">for SN modification case </w:t>
            </w:r>
            <w:r w:rsidRPr="00C21527">
              <w:rPr>
                <w:rFonts w:ascii="Arial" w:hAnsi="Arial"/>
                <w:noProof/>
                <w:lang w:eastAsia="en-US"/>
              </w:rPr>
              <w:t>is captured in TS 37.340</w:t>
            </w:r>
            <w:r>
              <w:rPr>
                <w:rFonts w:ascii="Arial" w:hAnsi="Arial"/>
                <w:noProof/>
                <w:lang w:eastAsia="en-US"/>
              </w:rPr>
              <w:t>.</w:t>
            </w:r>
          </w:p>
          <w:p w14:paraId="55C7CFAA" w14:textId="77777777" w:rsidR="00B94655" w:rsidRPr="00610FE6" w:rsidRDefault="00B94655" w:rsidP="00B94655">
            <w:pPr>
              <w:pStyle w:val="NO"/>
              <w:rPr>
                <w:rFonts w:eastAsiaTheme="minorEastAsia"/>
                <w:noProof/>
              </w:rPr>
            </w:pPr>
            <w:r w:rsidRPr="001662C6">
              <w:rPr>
                <w:noProof/>
              </w:rPr>
              <w:lastRenderedPageBreak/>
              <w:t>NOTE 1:</w:t>
            </w:r>
            <w:r w:rsidRPr="001662C6">
              <w:rPr>
                <w:noProof/>
              </w:rPr>
              <w:tab/>
              <w:t>When using release and addition for the NR SCG configuration</w:t>
            </w:r>
            <w:r>
              <w:rPr>
                <w:noProof/>
              </w:rPr>
              <w:t xml:space="preserve"> during handover or SN change</w:t>
            </w:r>
            <w:r w:rsidRPr="001662C6">
              <w:rPr>
                <w:noProof/>
              </w:rPr>
              <w:t xml:space="preserve">, E-UTRAN includes </w:t>
            </w:r>
            <w:r w:rsidRPr="001662C6">
              <w:rPr>
                <w:i/>
                <w:noProof/>
              </w:rPr>
              <w:t xml:space="preserve">drb-ToReleaseList </w:t>
            </w:r>
            <w:r w:rsidRPr="001662C6">
              <w:rPr>
                <w:noProof/>
              </w:rPr>
              <w:t>for the SN terminated RBs</w:t>
            </w:r>
            <w:r>
              <w:rPr>
                <w:noProof/>
              </w:rPr>
              <w:t>. For SN modfication csae, see TS 37.340 [xx]</w:t>
            </w:r>
            <w:r w:rsidRPr="001662C6">
              <w:rPr>
                <w:noProof/>
              </w:rPr>
              <w:t>.</w:t>
            </w:r>
          </w:p>
          <w:p w14:paraId="413F4B71" w14:textId="77777777" w:rsidR="00B50F17" w:rsidRPr="002756A8" w:rsidRDefault="00B50F17" w:rsidP="008B0C18">
            <w:pPr>
              <w:pStyle w:val="CRCoverPage"/>
              <w:spacing w:after="0"/>
              <w:ind w:left="100"/>
              <w:rPr>
                <w:noProof/>
              </w:rPr>
            </w:pPr>
          </w:p>
          <w:p w14:paraId="6F354DC4" w14:textId="77777777" w:rsidR="00216A3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79A25111" w:rsidR="00216A32" w:rsidRDefault="00900EEB" w:rsidP="00341F8C">
            <w:pPr>
              <w:pStyle w:val="CRCoverPage"/>
              <w:spacing w:after="0"/>
              <w:ind w:left="100"/>
              <w:rPr>
                <w:noProof/>
              </w:rPr>
            </w:pPr>
            <w:r>
              <w:rPr>
                <w:noProof/>
              </w:rPr>
              <w:t>5.3.1.3</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433DE1C9" w14:textId="77777777" w:rsidR="00CB1E4E" w:rsidRPr="001135D7" w:rsidRDefault="00CB1E4E" w:rsidP="00CB1E4E">
      <w:pPr>
        <w:pStyle w:val="4"/>
      </w:pPr>
      <w:bookmarkStart w:id="2" w:name="_Toc36546814"/>
      <w:bookmarkStart w:id="3" w:name="_Toc36548206"/>
      <w:bookmarkStart w:id="4" w:name="_Toc46447043"/>
      <w:bookmarkStart w:id="5" w:name="_Toc52789871"/>
      <w:bookmarkStart w:id="6" w:name="_Toc67992996"/>
      <w:bookmarkStart w:id="7" w:name="_Toc20486759"/>
      <w:bookmarkStart w:id="8" w:name="_Toc29342051"/>
      <w:bookmarkStart w:id="9" w:name="_Toc29343190"/>
      <w:bookmarkStart w:id="10" w:name="_Toc36566438"/>
      <w:bookmarkStart w:id="11" w:name="_Toc36809847"/>
      <w:bookmarkStart w:id="12" w:name="_Toc36846211"/>
      <w:bookmarkStart w:id="13" w:name="_Toc36938864"/>
      <w:bookmarkStart w:id="14" w:name="_Toc37081843"/>
      <w:bookmarkStart w:id="15" w:name="_Toc46480468"/>
      <w:bookmarkStart w:id="16" w:name="_Toc46481702"/>
      <w:bookmarkStart w:id="17" w:name="_Toc46482936"/>
      <w:bookmarkStart w:id="18" w:name="_Toc67996742"/>
      <w:r w:rsidRPr="001135D7">
        <w:t>5.3.1.3</w:t>
      </w:r>
      <w:r w:rsidRPr="001135D7">
        <w:tab/>
        <w:t>Connected mode mobility</w:t>
      </w:r>
      <w:bookmarkEnd w:id="2"/>
      <w:bookmarkEnd w:id="3"/>
      <w:bookmarkEnd w:id="4"/>
      <w:bookmarkEnd w:id="5"/>
      <w:bookmarkEnd w:id="6"/>
    </w:p>
    <w:p w14:paraId="380BBDF4" w14:textId="77777777" w:rsidR="00CB1E4E" w:rsidRPr="001135D7" w:rsidRDefault="00CB1E4E" w:rsidP="00CB1E4E">
      <w:r w:rsidRPr="001135D7">
        <w:t xml:space="preserve">In RRC_CONNECTED, the network controls UE mobility, i.e. the network decides when the UE shall connect to which E-UTRA cell(s), or inter-RAT cell. For network controlled mobility in RRC_CONNECTED, the PCell can be changed using an </w:t>
      </w:r>
      <w:r w:rsidRPr="001135D7">
        <w:rPr>
          <w:i/>
        </w:rPr>
        <w:t>RRCConnectionReconfiguration</w:t>
      </w:r>
      <w:r w:rsidRPr="001135D7">
        <w:t xml:space="preserve"> message including the </w:t>
      </w:r>
      <w:r w:rsidRPr="001135D7">
        <w:rPr>
          <w:i/>
        </w:rPr>
        <w:t>mobilityControlInfo</w:t>
      </w:r>
      <w:r w:rsidRPr="001135D7">
        <w:t xml:space="preserve"> (handover), whereas the SCell(s) can be changed using the </w:t>
      </w:r>
      <w:r w:rsidRPr="001135D7">
        <w:rPr>
          <w:i/>
        </w:rPr>
        <w:t>RRCConnectionReconfiguration</w:t>
      </w:r>
      <w:r w:rsidRPr="001135D7">
        <w:t xml:space="preserve"> message either with or without the </w:t>
      </w:r>
      <w:r w:rsidRPr="001135D7">
        <w:rPr>
          <w:i/>
        </w:rPr>
        <w:t>mobilityControlInfo</w:t>
      </w:r>
      <w:r w:rsidRPr="001135D7">
        <w:t>.</w:t>
      </w:r>
    </w:p>
    <w:p w14:paraId="3582FCA1" w14:textId="77777777" w:rsidR="00CB1E4E" w:rsidRPr="001135D7" w:rsidRDefault="00CB1E4E" w:rsidP="00CB1E4E">
      <w:r w:rsidRPr="001135D7">
        <w:t xml:space="preserve">In DC, an SCG can be established, reconfigured or released by using an </w:t>
      </w:r>
      <w:r w:rsidRPr="001135D7">
        <w:rPr>
          <w:i/>
        </w:rPr>
        <w:t>RRCConnectionReconfiguration</w:t>
      </w:r>
      <w:r w:rsidRPr="001135D7">
        <w:t xml:space="preserve"> message with or without the </w:t>
      </w:r>
      <w:r w:rsidRPr="001135D7">
        <w:rPr>
          <w:i/>
        </w:rPr>
        <w:t>mobilityControlInfo</w:t>
      </w:r>
      <w:r w:rsidRPr="001135D7">
        <w:t xml:space="preserve">. In case Random Access to the PSCell or initial PUSCH transmission to the PSCell if </w:t>
      </w:r>
      <w:r w:rsidRPr="001135D7">
        <w:rPr>
          <w:i/>
        </w:rPr>
        <w:t>rach-SkipSCG</w:t>
      </w:r>
      <w:r w:rsidRPr="001135D7">
        <w:t xml:space="preserve"> is configured is required upon SCG reconfiguration, E-UTRAN employs the SCG change procedure (i.e. an </w:t>
      </w:r>
      <w:r w:rsidRPr="001135D7">
        <w:rPr>
          <w:i/>
        </w:rPr>
        <w:t>RRCConnectionReconfiguration</w:t>
      </w:r>
      <w:r w:rsidRPr="001135D7">
        <w:t xml:space="preserve"> message including the </w:t>
      </w:r>
      <w:r w:rsidRPr="001135D7">
        <w:rPr>
          <w:i/>
        </w:rPr>
        <w:t>mobilityControlInfoSCG</w:t>
      </w:r>
      <w:r w:rsidRPr="001135D7">
        <w:t>). The PSCell can only be changed using the SCG change procedure</w:t>
      </w:r>
      <w:r w:rsidRPr="001135D7">
        <w:rPr>
          <w:lang w:eastAsia="en-GB"/>
        </w:rPr>
        <w:t xml:space="preserve"> and by release and addition of the PSCell</w:t>
      </w:r>
      <w:r w:rsidRPr="001135D7">
        <w:t>.</w:t>
      </w:r>
    </w:p>
    <w:p w14:paraId="7D226ECC" w14:textId="77777777" w:rsidR="00CB1E4E" w:rsidRPr="001135D7" w:rsidRDefault="00CB1E4E" w:rsidP="00CB1E4E">
      <w:r w:rsidRPr="001135D7">
        <w:t xml:space="preserve">In (NG)EN-DC, an NR SCG can be established or reconfigured by using an </w:t>
      </w:r>
      <w:r w:rsidRPr="001135D7">
        <w:rPr>
          <w:i/>
        </w:rPr>
        <w:t>RRCConnectionReconfiguration</w:t>
      </w:r>
      <w:r w:rsidRPr="001135D7">
        <w:t xml:space="preserve"> message containing </w:t>
      </w:r>
      <w:r w:rsidRPr="001135D7">
        <w:rPr>
          <w:i/>
        </w:rPr>
        <w:t>nr-secondaryCellGroupConfig</w:t>
      </w:r>
      <w:r w:rsidRPr="001135D7">
        <w:t xml:space="preserve"> and</w:t>
      </w:r>
      <w:r w:rsidRPr="001135D7">
        <w:rPr>
          <w:i/>
        </w:rPr>
        <w:t xml:space="preserve"> nr-RadioBearerConfig</w:t>
      </w:r>
      <w:r w:rsidRPr="001135D7">
        <w:t xml:space="preserve">. The contents of </w:t>
      </w:r>
      <w:r w:rsidRPr="001135D7">
        <w:rPr>
          <w:i/>
        </w:rPr>
        <w:t>nr-secondaryCellGroupConfig</w:t>
      </w:r>
      <w:r w:rsidRPr="001135D7">
        <w:t xml:space="preserve"> and</w:t>
      </w:r>
      <w:r w:rsidRPr="001135D7">
        <w:rPr>
          <w:i/>
        </w:rPr>
        <w:t xml:space="preserve"> nr-RadioBearerConfig</w:t>
      </w:r>
      <w:r w:rsidRPr="001135D7">
        <w:t xml:space="preserve">, of other (NG)EN-DC fields as well as the associated procedures are specified in TS 38.331 [82]. In (NG)EN-DC, the PSCell can only be changed using the Reconfiguration with sync procedure, with or without </w:t>
      </w:r>
      <w:r w:rsidRPr="001135D7">
        <w:rPr>
          <w:lang w:eastAsia="ko-KR"/>
        </w:rPr>
        <w:t xml:space="preserve">MR-DC </w:t>
      </w:r>
      <w:r w:rsidRPr="001135D7">
        <w:t>release and addition.</w:t>
      </w:r>
    </w:p>
    <w:p w14:paraId="2D017ECC" w14:textId="77777777" w:rsidR="00CB1E4E" w:rsidRPr="001135D7" w:rsidRDefault="00CB1E4E" w:rsidP="00CB1E4E">
      <w:r w:rsidRPr="001135D7">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6A2729" w14:textId="77777777" w:rsidR="00CB1E4E" w:rsidRPr="001135D7" w:rsidRDefault="00CB1E4E" w:rsidP="00CB1E4E">
      <w:r w:rsidRPr="001135D7">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sidRPr="001135D7">
        <w:rPr>
          <w:iCs/>
        </w:rPr>
        <w:t>NR SCG reconfiguration with sync and key change</w:t>
      </w:r>
      <w:r w:rsidRPr="001135D7">
        <w:t xml:space="preserve"> (in case of EN-DC and NGEN-DC). In case the UE was configured with (EN-) DC or NGEN-DC, the target eNB indicates in the handover message </w:t>
      </w:r>
      <w:r w:rsidRPr="001135D7">
        <w:rPr>
          <w:lang w:eastAsia="zh-CN"/>
        </w:rPr>
        <w:t>whether</w:t>
      </w:r>
      <w:r w:rsidRPr="001135D7">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5C6D1B92" w14:textId="77777777" w:rsidR="00CB1E4E" w:rsidRPr="001135D7" w:rsidRDefault="00CB1E4E" w:rsidP="00CB1E4E">
      <w:r w:rsidRPr="001135D7">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60C79B69" w14:textId="77777777" w:rsidR="00CB1E4E" w:rsidRPr="001135D7" w:rsidRDefault="00CB1E4E" w:rsidP="00CB1E4E">
      <w:r w:rsidRPr="001135D7">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sidRPr="001135D7">
        <w:rPr>
          <w:i/>
        </w:rPr>
        <w:t>rach-Skip</w:t>
      </w:r>
      <w:r w:rsidRPr="001135D7">
        <w:t xml:space="preserve"> is configured. Consequently, when allocating a dedicated preamble for the random access in the target PCell, E-UTRA shall ensure it is available from the first RACH occasion the UE may use. The first available PUSCH occasion is provided by </w:t>
      </w:r>
      <w:r w:rsidRPr="001135D7">
        <w:rPr>
          <w:i/>
        </w:rPr>
        <w:t>ul-ConfigInfo</w:t>
      </w:r>
      <w:r w:rsidRPr="001135D7">
        <w:t>, if configured, otherwise UE shall monitor the PDCCH of target eNB. Upon successful completion of the handover, the UE sends a message used to confirm the handover.</w:t>
      </w:r>
    </w:p>
    <w:p w14:paraId="64A1F025" w14:textId="77777777" w:rsidR="00CB1E4E" w:rsidRPr="001135D7" w:rsidRDefault="00CB1E4E" w:rsidP="00CB1E4E">
      <w:r w:rsidRPr="001135D7">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702F1674" w14:textId="5333F17F" w:rsidR="004D6DF3" w:rsidRPr="004D6DF3" w:rsidRDefault="00CB1E4E" w:rsidP="004D6DF3">
      <w:pPr>
        <w:rPr>
          <w:rFonts w:eastAsiaTheme="minorEastAsia"/>
        </w:rPr>
      </w:pPr>
      <w:r w:rsidRPr="001135D7">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r>
        <w:t xml:space="preserve"> </w:t>
      </w:r>
    </w:p>
    <w:p w14:paraId="4BE71E14" w14:textId="08BDCD88" w:rsidR="004D6DF3" w:rsidRPr="004D6DF3" w:rsidRDefault="004D6DF3" w:rsidP="004D6DF3">
      <w:pPr>
        <w:pStyle w:val="NO"/>
        <w:rPr>
          <w:noProof/>
        </w:rPr>
      </w:pPr>
      <w:r w:rsidRPr="001662C6">
        <w:rPr>
          <w:noProof/>
        </w:rPr>
        <w:t>NOTE 1:</w:t>
      </w:r>
      <w:r w:rsidRPr="001662C6">
        <w:rPr>
          <w:noProof/>
        </w:rPr>
        <w:tab/>
        <w:t>When using release and addition for the NR SCG configuration</w:t>
      </w:r>
      <w:ins w:id="19" w:author="NTTDOCOMO" w:date="2021-05-27T21:50:00Z">
        <w:r w:rsidR="00B94655">
          <w:rPr>
            <w:noProof/>
          </w:rPr>
          <w:t xml:space="preserve"> during handover or SN c</w:t>
        </w:r>
      </w:ins>
      <w:ins w:id="20" w:author="NTTDOCOMO" w:date="2021-05-27T21:51:00Z">
        <w:r w:rsidR="00B94655">
          <w:rPr>
            <w:noProof/>
          </w:rPr>
          <w:t>hange</w:t>
        </w:r>
      </w:ins>
      <w:r w:rsidRPr="001662C6">
        <w:rPr>
          <w:noProof/>
        </w:rPr>
        <w:t xml:space="preserve">, E-UTRAN includes </w:t>
      </w:r>
      <w:r w:rsidRPr="001662C6">
        <w:rPr>
          <w:i/>
          <w:noProof/>
        </w:rPr>
        <w:t xml:space="preserve">drb-ToReleaseList </w:t>
      </w:r>
      <w:r w:rsidRPr="001662C6">
        <w:rPr>
          <w:noProof/>
        </w:rPr>
        <w:t>for the SN terminated RBs</w:t>
      </w:r>
      <w:ins w:id="21" w:author="NTTDOCOMO" w:date="2021-05-27T13:18:00Z">
        <w:r w:rsidR="00B94655">
          <w:rPr>
            <w:noProof/>
          </w:rPr>
          <w:t>.</w:t>
        </w:r>
      </w:ins>
      <w:ins w:id="22" w:author="NTTDOCOMO" w:date="2021-05-27T21:51:00Z">
        <w:r w:rsidR="00B94655">
          <w:rPr>
            <w:noProof/>
          </w:rPr>
          <w:t xml:space="preserve"> For SN modification</w:t>
        </w:r>
      </w:ins>
      <w:ins w:id="23" w:author="NTTDOCOMO" w:date="2021-05-27T13:18:00Z">
        <w:r w:rsidR="002756A8">
          <w:rPr>
            <w:noProof/>
          </w:rPr>
          <w:t xml:space="preserve"> </w:t>
        </w:r>
      </w:ins>
      <w:ins w:id="24" w:author="NTTDOCOMO" w:date="2021-05-27T21:52:00Z">
        <w:r w:rsidR="00B94655">
          <w:rPr>
            <w:noProof/>
          </w:rPr>
          <w:t xml:space="preserve">case, </w:t>
        </w:r>
      </w:ins>
      <w:ins w:id="25" w:author="NTTDOCOMO" w:date="2021-05-27T13:18:00Z">
        <w:r w:rsidR="002756A8">
          <w:rPr>
            <w:noProof/>
          </w:rPr>
          <w:t>see TS 37.340</w:t>
        </w:r>
      </w:ins>
      <w:ins w:id="26" w:author="NTTDOCOMO" w:date="2021-05-27T13:19:00Z">
        <w:r w:rsidR="002756A8">
          <w:rPr>
            <w:noProof/>
          </w:rPr>
          <w:t xml:space="preserve"> </w:t>
        </w:r>
      </w:ins>
      <w:ins w:id="27" w:author="NTTDOCOMO" w:date="2021-05-27T13:18:00Z">
        <w:r w:rsidR="002756A8">
          <w:rPr>
            <w:noProof/>
          </w:rPr>
          <w:t>[xx]</w:t>
        </w:r>
      </w:ins>
      <w:r w:rsidRPr="001662C6">
        <w:rPr>
          <w:noProof/>
        </w:rPr>
        <w:t>.</w:t>
      </w:r>
    </w:p>
    <w:p w14:paraId="3F5A42BC" w14:textId="77777777" w:rsidR="00CB1E4E" w:rsidRPr="001135D7" w:rsidRDefault="00CB1E4E" w:rsidP="00CB1E4E">
      <w:r w:rsidRPr="001135D7">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04BEFE6B" w14:textId="77777777" w:rsidR="00CB1E4E" w:rsidRPr="001135D7" w:rsidRDefault="00CB1E4E" w:rsidP="00CB1E4E">
      <w:r w:rsidRPr="001135D7">
        <w:t>One UE behaviour to be performed upon handover is specified, i.e. this is regardless of the handover procedures used within the network (e.g. whether the handover includes X2 or S1 signalling procedures).</w:t>
      </w:r>
    </w:p>
    <w:p w14:paraId="2E32F35D" w14:textId="77777777" w:rsidR="00CB1E4E" w:rsidRPr="001135D7" w:rsidRDefault="00CB1E4E" w:rsidP="00CB1E4E">
      <w:r w:rsidRPr="001135D7">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w:t>
      </w:r>
      <w:r w:rsidRPr="001135D7">
        <w:rPr>
          <w:noProof/>
        </w:rPr>
        <w:t>he cell in which the re-establishment procedure succeeds becomes the PCell while SCells and STAGs, if configured, are released.</w:t>
      </w:r>
    </w:p>
    <w:p w14:paraId="73AEFBDE" w14:textId="77777777" w:rsidR="00CB1E4E" w:rsidRPr="001135D7" w:rsidRDefault="00CB1E4E" w:rsidP="00CB1E4E">
      <w:pPr>
        <w:rPr>
          <w:noProof/>
        </w:rPr>
      </w:pPr>
      <w:r w:rsidRPr="001135D7">
        <w:rPr>
          <w:noProof/>
        </w:rPr>
        <w:t>Normal measurement and mobility procedures are used to support handover to cells broadcasting a CSG identity. In addition, E-UTRAN may configure the UE to report that it is entering or leaving the proximity of cell(s) included in its CSG whitelist. Furthermore, E-UTRAN may request the UE to provide additional information broadcast by the handover candidate cell e.g. global cell identity, CSG identity, CSG membership status.</w:t>
      </w:r>
    </w:p>
    <w:p w14:paraId="1B015F9F" w14:textId="77777777" w:rsidR="00CB1E4E" w:rsidRPr="001135D7" w:rsidRDefault="00CB1E4E" w:rsidP="00CB1E4E">
      <w:pPr>
        <w:pStyle w:val="NO"/>
        <w:rPr>
          <w:noProof/>
        </w:rPr>
      </w:pPr>
      <w:r w:rsidRPr="001135D7">
        <w:rPr>
          <w:noProof/>
        </w:rPr>
        <w:t>NOTE 2:</w:t>
      </w:r>
      <w:r w:rsidRPr="001135D7">
        <w:rPr>
          <w:noProof/>
        </w:rP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sidRPr="001135D7">
        <w:rPr>
          <w:i/>
          <w:noProof/>
        </w:rPr>
        <w:t>PCI confusion</w:t>
      </w:r>
      <w:r w:rsidRPr="001135D7">
        <w:rPr>
          <w:noProof/>
        </w:rPr>
        <w:t xml:space="preserve"> i.e. when the physical layer identity that is included in the measurement report does not uniquely identify the cell).</w:t>
      </w:r>
    </w:p>
    <w:bookmarkEnd w:id="7"/>
    <w:bookmarkEnd w:id="8"/>
    <w:bookmarkEnd w:id="9"/>
    <w:bookmarkEnd w:id="10"/>
    <w:bookmarkEnd w:id="11"/>
    <w:bookmarkEnd w:id="12"/>
    <w:bookmarkEnd w:id="13"/>
    <w:bookmarkEnd w:id="14"/>
    <w:bookmarkEnd w:id="15"/>
    <w:bookmarkEnd w:id="16"/>
    <w:bookmarkEnd w:id="17"/>
    <w:bookmarkEnd w:id="18"/>
    <w:p w14:paraId="5DCCB444" w14:textId="1E672801" w:rsidR="00216A32" w:rsidRPr="00E51233" w:rsidRDefault="004F1479"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00216A32" w:rsidRPr="00E51233">
        <w:rPr>
          <w:i/>
          <w:iCs/>
        </w:rPr>
        <w:t xml:space="preserve"> OF CHANGE</w:t>
      </w:r>
    </w:p>
    <w:p w14:paraId="5F9E7A75" w14:textId="77777777" w:rsidR="00216A32" w:rsidRPr="001662C6" w:rsidRDefault="00216A32" w:rsidP="009722D5">
      <w:pPr>
        <w:pStyle w:val="NO"/>
        <w:rPr>
          <w:noProof/>
        </w:rPr>
      </w:pPr>
    </w:p>
    <w:sectPr w:rsidR="00216A32" w:rsidRPr="001662C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5C393" w14:textId="77777777" w:rsidR="00164447" w:rsidRDefault="00164447">
      <w:r>
        <w:separator/>
      </w:r>
    </w:p>
  </w:endnote>
  <w:endnote w:type="continuationSeparator" w:id="0">
    <w:p w14:paraId="7BB71FF2" w14:textId="77777777" w:rsidR="00164447" w:rsidRDefault="00164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A2B1B" w14:textId="77777777" w:rsidR="00164447" w:rsidRDefault="00164447">
      <w:r>
        <w:separator/>
      </w:r>
    </w:p>
  </w:footnote>
  <w:footnote w:type="continuationSeparator" w:id="0">
    <w:p w14:paraId="4670CE53" w14:textId="77777777" w:rsidR="00164447" w:rsidRDefault="00164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B10"/>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57"/>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447"/>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6A8"/>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78FE"/>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2878"/>
    <w:rsid w:val="004A39E5"/>
    <w:rsid w:val="004A4510"/>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DF3"/>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28FB"/>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4307"/>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3754"/>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1EE"/>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0E9"/>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55F0"/>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57B0"/>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655"/>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27797"/>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1831"/>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B7764"/>
    <w:rsid w:val="00EC0361"/>
    <w:rsid w:val="00EC1870"/>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167D6"/>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38BB"/>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0FA0-333D-4519-A8D1-F80FEAE3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1752</Words>
  <Characters>9991</Characters>
  <Application>Microsoft Office Word</Application>
  <DocSecurity>0</DocSecurity>
  <Lines>83</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11720</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2</cp:revision>
  <cp:lastPrinted>2018-03-06T08:25:00Z</cp:lastPrinted>
  <dcterms:created xsi:type="dcterms:W3CDTF">2021-06-02T08:21:00Z</dcterms:created>
  <dcterms:modified xsi:type="dcterms:W3CDTF">2021-06-02T08:21:00Z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