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ＭＳ 明朝"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ＭＳ 明朝" w:hAnsi="Arial" w:cs="Arial"/>
          <w:b/>
          <w:sz w:val="22"/>
          <w:szCs w:val="22"/>
          <w:lang w:val="en-GB"/>
        </w:rPr>
      </w:pPr>
      <w:r>
        <w:rPr>
          <w:rFonts w:ascii="Arial" w:eastAsia="ＭＳ 明朝"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ＭＳ 明朝" w:hAnsi="Arial" w:cs="Arial"/>
          <w:b/>
          <w:sz w:val="22"/>
          <w:szCs w:val="22"/>
        </w:rPr>
        <w:t>Source:</w:t>
      </w:r>
      <w:r>
        <w:rPr>
          <w:rFonts w:ascii="Arial" w:eastAsia="ＭＳ 明朝"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ＭＳ 明朝" w:hAnsi="Arial" w:cs="Arial"/>
          <w:b/>
          <w:sz w:val="22"/>
          <w:szCs w:val="22"/>
        </w:rPr>
        <w:t>Title:</w:t>
      </w:r>
      <w:r>
        <w:rPr>
          <w:rFonts w:ascii="Arial" w:eastAsia="ＭＳ 明朝"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ＭＳ 明朝" w:hAnsi="Arial" w:cs="Arial"/>
          <w:b/>
          <w:sz w:val="22"/>
          <w:szCs w:val="22"/>
        </w:rPr>
        <w:t>Agenda Item:</w:t>
      </w:r>
      <w:r>
        <w:rPr>
          <w:rFonts w:ascii="Arial" w:eastAsia="ＭＳ 明朝"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ＭＳ 明朝" w:hAnsi="Arial" w:cs="Arial"/>
          <w:b/>
          <w:sz w:val="22"/>
          <w:szCs w:val="22"/>
        </w:rPr>
        <w:t>Document for:</w:t>
      </w:r>
      <w:r>
        <w:rPr>
          <w:rFonts w:ascii="Arial" w:eastAsia="ＭＳ 明朝"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FC673F"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FC673F"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Milos Tesanovic ; m.tesanovic@samsung.com</w:t>
            </w:r>
          </w:p>
        </w:tc>
      </w:tr>
      <w:tr w:rsidR="00237B50" w:rsidRPr="00B7722D"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r>
              <w:rPr>
                <w:rFonts w:eastAsia="SimSun"/>
                <w:lang w:val="fr-FR" w:eastAsia="zh-CN"/>
              </w:rPr>
              <w:t>MediaTek</w:t>
            </w:r>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Pradeep Jose ; pradeep[dot]jose[at]mediatek[dot]com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r w:rsidR="00B359BC"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r>
              <w:t>Futurewei</w:t>
            </w:r>
          </w:p>
        </w:tc>
        <w:tc>
          <w:tcPr>
            <w:tcW w:w="4207" w:type="pct"/>
          </w:tcPr>
          <w:p w14:paraId="78D2B016" w14:textId="2C10CAA7" w:rsidR="00B359BC" w:rsidRDefault="00B359BC" w:rsidP="00B359BC">
            <w:pPr>
              <w:spacing w:after="0"/>
              <w:jc w:val="both"/>
              <w:rPr>
                <w:rFonts w:eastAsiaTheme="minorEastAsia"/>
                <w:lang w:val="fr-FR" w:eastAsia="zh-CN"/>
              </w:rPr>
            </w:pPr>
            <w:r>
              <w:rPr>
                <w:lang w:val="fr-FR"/>
              </w:rPr>
              <w:t>Yunsong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Default="008C09EE" w:rsidP="008C09EE">
            <w:pPr>
              <w:spacing w:after="0"/>
              <w:jc w:val="both"/>
              <w:rPr>
                <w:lang w:val="fr-FR"/>
              </w:rPr>
            </w:pPr>
            <w:r w:rsidRPr="008C09EE">
              <w:rPr>
                <w:rFonts w:hint="eastAsia"/>
                <w:lang w:val="fr-FR"/>
              </w:rPr>
              <w:t>Ting</w:t>
            </w:r>
            <w:r w:rsidRPr="008C09EE">
              <w:rPr>
                <w:lang w:val="fr-FR"/>
              </w:rPr>
              <w:t xml:space="preserve"> </w:t>
            </w:r>
            <w:r w:rsidRPr="008C09EE">
              <w:rPr>
                <w:rFonts w:hint="eastAsia"/>
                <w:lang w:val="fr-FR"/>
              </w:rPr>
              <w:t>Lu</w:t>
            </w:r>
            <w:r>
              <w:rPr>
                <w:lang w:val="fr-FR"/>
              </w:rPr>
              <w:t xml:space="preserve"> </w:t>
            </w:r>
            <w:r w:rsidRPr="008C09EE">
              <w:rPr>
                <w:lang w:val="fr-FR"/>
              </w:rPr>
              <w:t>(</w:t>
            </w:r>
            <w:r w:rsidRPr="00552393">
              <w:rPr>
                <w:lang w:val="fr-FR"/>
              </w:rPr>
              <w:t>lu.ting@zte.com.cn</w:t>
            </w:r>
            <w:r w:rsidRPr="008C09EE">
              <w:rPr>
                <w:lang w:val="fr-FR"/>
              </w:rPr>
              <w:t>)</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8C09EE" w:rsidRDefault="00621E5C" w:rsidP="00621E5C">
            <w:pPr>
              <w:spacing w:after="0"/>
              <w:jc w:val="both"/>
              <w:rPr>
                <w:lang w:val="fr-FR"/>
              </w:rPr>
            </w:pPr>
            <w:r>
              <w:rPr>
                <w:rFonts w:eastAsiaTheme="minorEastAsia" w:hint="eastAsia"/>
                <w:lang w:val="fr-FR" w:eastAsia="zh-CN"/>
              </w:rPr>
              <w:t>W</w:t>
            </w:r>
            <w:r>
              <w:rPr>
                <w:rFonts w:eastAsiaTheme="minorEastAsia"/>
                <w:lang w:val="fr-FR" w:eastAsia="zh-CN"/>
              </w:rPr>
              <w:t>en-ming (ming.wen@vivo.com)</w:t>
            </w:r>
          </w:p>
        </w:tc>
      </w:tr>
      <w:tr w:rsidR="109E8752" w14:paraId="631280D2" w14:textId="77777777" w:rsidTr="109E8752">
        <w:trPr>
          <w:trHeight w:val="144"/>
        </w:trPr>
        <w:tc>
          <w:tcPr>
            <w:tcW w:w="1317" w:type="dxa"/>
          </w:tcPr>
          <w:p w14:paraId="16F334DF" w14:textId="3E9DA7D6" w:rsidR="16C227C0" w:rsidRDefault="16C227C0" w:rsidP="109E8752">
            <w:pPr>
              <w:jc w:val="both"/>
            </w:pPr>
            <w:r w:rsidRPr="109E8752">
              <w:t>III</w:t>
            </w:r>
          </w:p>
        </w:tc>
        <w:tc>
          <w:tcPr>
            <w:tcW w:w="6987" w:type="dxa"/>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109E8752">
        <w:trPr>
          <w:trHeight w:val="144"/>
        </w:trPr>
        <w:tc>
          <w:tcPr>
            <w:tcW w:w="1317" w:type="dxa"/>
          </w:tcPr>
          <w:p w14:paraId="206CB4B0" w14:textId="76E6DDDD" w:rsidR="00791644" w:rsidRPr="00791644" w:rsidRDefault="00791644" w:rsidP="109E8752">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6987" w:type="dxa"/>
          </w:tcPr>
          <w:p w14:paraId="055C8893" w14:textId="37CA7C12" w:rsidR="00791644" w:rsidRPr="00791644" w:rsidRDefault="00791644" w:rsidP="109E8752">
            <w:pPr>
              <w:jc w:val="both"/>
              <w:rPr>
                <w:rFonts w:eastAsia="ＭＳ 明朝" w:hint="eastAsia"/>
                <w:lang w:val="fr-FR" w:eastAsia="ja-JP"/>
              </w:rPr>
            </w:pPr>
            <w:r>
              <w:rPr>
                <w:rFonts w:eastAsia="ＭＳ 明朝" w:hint="eastAsia"/>
                <w:lang w:val="fr-FR" w:eastAsia="ja-JP"/>
              </w:rPr>
              <w:t>O</w:t>
            </w:r>
            <w:r>
              <w:rPr>
                <w:rFonts w:eastAsia="ＭＳ 明朝"/>
                <w:lang w:val="fr-FR" w:eastAsia="ja-JP"/>
              </w:rPr>
              <w:t>hta, Yoshiaki ; ohta.yoshiaki@fujitsu.com</w:t>
            </w: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b/>
          <w:bCs/>
          <w:lang w:val="en-GB" w:eastAsia="en-GB"/>
        </w:rPr>
      </w:pPr>
      <w:r>
        <w:rPr>
          <w:rFonts w:ascii="Arial" w:eastAsia="ＭＳ 明朝"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lastRenderedPageBreak/>
        <w:t>-</w:t>
      </w:r>
      <w:r>
        <w:rPr>
          <w:rFonts w:ascii="Arial" w:eastAsia="ＭＳ 明朝"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i/>
          <w:iCs/>
          <w:lang w:val="en-GB" w:eastAsia="en-GB"/>
        </w:rPr>
        <w:t>-</w:t>
      </w:r>
      <w:r>
        <w:rPr>
          <w:rFonts w:ascii="Arial" w:eastAsia="ＭＳ 明朝" w:hAnsi="Arial"/>
          <w:i/>
          <w:iCs/>
          <w:lang w:val="en-GB" w:eastAsia="en-GB"/>
        </w:rPr>
        <w:tab/>
      </w:r>
      <w:r>
        <w:rPr>
          <w:rFonts w:ascii="Arial" w:eastAsia="ＭＳ 明朝"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i/>
          <w:iCs/>
          <w:lang w:val="en-GB" w:eastAsia="en-GB"/>
        </w:rPr>
        <w:t>-</w:t>
      </w:r>
      <w:r>
        <w:rPr>
          <w:rFonts w:ascii="Arial" w:eastAsia="ＭＳ 明朝"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w:t>
      </w:r>
      <w:r>
        <w:rPr>
          <w:rFonts w:ascii="Arial" w:eastAsia="ＭＳ 明朝"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w:t>
      </w:r>
      <w:r>
        <w:rPr>
          <w:rFonts w:ascii="Arial" w:eastAsia="ＭＳ 明朝"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lang w:val="en-GB" w:eastAsia="en-GB"/>
        </w:rPr>
        <w:t>-</w:t>
      </w:r>
      <w:r>
        <w:rPr>
          <w:rFonts w:ascii="Arial" w:eastAsia="ＭＳ 明朝"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ＭＳ 明朝" w:hAnsi="Arial"/>
          <w:i/>
          <w:iCs/>
          <w:lang w:val="en-GB" w:eastAsia="en-GB"/>
        </w:rPr>
      </w:pPr>
    </w:p>
    <w:p w14:paraId="68F6673D" w14:textId="77777777" w:rsidR="00237B50" w:rsidRDefault="00DD78D3">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a0"/>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a0"/>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a0"/>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a0"/>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afe"/>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20"/>
      </w:pPr>
      <w:bookmarkStart w:id="6" w:name="_Ref68110415"/>
      <w:r>
        <w:t>Survival Time</w:t>
      </w:r>
      <w:bookmarkEnd w:id="6"/>
    </w:p>
    <w:p w14:paraId="573C751C" w14:textId="77777777" w:rsidR="00237B50" w:rsidRDefault="00DD78D3">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a0"/>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8"/>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a0"/>
              <w:rPr>
                <w:rFonts w:eastAsiaTheme="minorEastAsia"/>
                <w:lang w:val="en-GB" w:eastAsia="zh-CN"/>
              </w:rPr>
            </w:pPr>
          </w:p>
        </w:tc>
      </w:tr>
    </w:tbl>
    <w:p w14:paraId="3405FE6E" w14:textId="77777777" w:rsidR="00237B50" w:rsidRDefault="00DD78D3">
      <w:pPr>
        <w:pStyle w:val="TH"/>
        <w:rPr>
          <w:i/>
          <w:sz w:val="18"/>
        </w:rPr>
      </w:pPr>
      <w:r>
        <w:rPr>
          <w:sz w:val="18"/>
        </w:rPr>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of U</w:t>
            </w:r>
            <w:r w:rsidR="008C09EE">
              <w:rPr>
                <w:sz w:val="10"/>
              </w:rPr>
              <w:t>e</w:t>
            </w:r>
            <w:r>
              <w:rPr>
                <w:sz w:val="10"/>
              </w:rPr>
              <w:t>s</w:t>
            </w:r>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 xml:space="preserve">500 μs </w:t>
            </w:r>
          </w:p>
        </w:tc>
        <w:tc>
          <w:tcPr>
            <w:tcW w:w="355" w:type="pct"/>
          </w:tcPr>
          <w:p w14:paraId="22FFE7CA" w14:textId="77777777" w:rsidR="00237B50" w:rsidRDefault="00DD78D3">
            <w:pPr>
              <w:pStyle w:val="TAL"/>
              <w:spacing w:after="0"/>
              <w:rPr>
                <w:sz w:val="10"/>
              </w:rPr>
            </w:pPr>
            <w:r>
              <w:rPr>
                <w:sz w:val="10"/>
              </w:rPr>
              <w:t>500 μs</w:t>
            </w:r>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ms </w:t>
            </w:r>
          </w:p>
        </w:tc>
        <w:tc>
          <w:tcPr>
            <w:tcW w:w="355" w:type="pct"/>
          </w:tcPr>
          <w:p w14:paraId="6EA821F4" w14:textId="77777777" w:rsidR="00237B50" w:rsidRDefault="00DD78D3">
            <w:pPr>
              <w:pStyle w:val="TAL"/>
              <w:spacing w:after="0"/>
              <w:rPr>
                <w:sz w:val="10"/>
              </w:rPr>
            </w:pPr>
            <w:r>
              <w:rPr>
                <w:sz w:val="10"/>
              </w:rPr>
              <w:t>1 ms</w:t>
            </w:r>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ms </w:t>
            </w:r>
          </w:p>
        </w:tc>
        <w:tc>
          <w:tcPr>
            <w:tcW w:w="355" w:type="pct"/>
          </w:tcPr>
          <w:p w14:paraId="0744132C" w14:textId="77777777" w:rsidR="00237B50" w:rsidRDefault="00DD78D3">
            <w:pPr>
              <w:pStyle w:val="TAL"/>
              <w:spacing w:after="0"/>
              <w:rPr>
                <w:sz w:val="10"/>
              </w:rPr>
            </w:pPr>
            <w:r>
              <w:rPr>
                <w:sz w:val="10"/>
              </w:rPr>
              <w:t>2 ms</w:t>
            </w:r>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&lt; 5 ms</w:t>
            </w:r>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r w:rsidR="008C09EE">
              <w:rPr>
                <w:sz w:val="10"/>
              </w:rPr>
              <w:t>ribute</w:t>
            </w:r>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ms</w:t>
            </w:r>
          </w:p>
        </w:tc>
        <w:tc>
          <w:tcPr>
            <w:tcW w:w="355" w:type="pct"/>
          </w:tcPr>
          <w:p w14:paraId="44E9DDEA" w14:textId="77777777" w:rsidR="00237B50" w:rsidRDefault="00DD78D3">
            <w:pPr>
              <w:pStyle w:val="TAL"/>
              <w:spacing w:after="0"/>
              <w:rPr>
                <w:sz w:val="10"/>
              </w:rPr>
            </w:pPr>
            <w:r>
              <w:rPr>
                <w:sz w:val="10"/>
              </w:rPr>
              <w:t>10 ms</w:t>
            </w:r>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ms</w:t>
            </w:r>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ms</w:t>
            </w:r>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ms</w:t>
            </w:r>
          </w:p>
        </w:tc>
        <w:tc>
          <w:tcPr>
            <w:tcW w:w="355" w:type="pct"/>
          </w:tcPr>
          <w:p w14:paraId="79BBF3FE" w14:textId="77777777" w:rsidR="00237B50" w:rsidRDefault="00DD78D3">
            <w:pPr>
              <w:keepNext/>
              <w:keepLines/>
              <w:spacing w:after="0"/>
              <w:rPr>
                <w:rFonts w:ascii="Arial" w:hAnsi="Arial"/>
                <w:sz w:val="10"/>
              </w:rPr>
            </w:pPr>
            <w:r>
              <w:rPr>
                <w:rFonts w:ascii="Arial" w:hAnsi="Arial"/>
                <w:sz w:val="10"/>
              </w:rPr>
              <w:t>50 ms</w:t>
            </w:r>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ms to 50 ms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4 ms to 8 ms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ms</w:t>
            </w:r>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ms</w:t>
            </w:r>
          </w:p>
        </w:tc>
        <w:tc>
          <w:tcPr>
            <w:tcW w:w="355" w:type="pct"/>
          </w:tcPr>
          <w:p w14:paraId="53841D02" w14:textId="77777777" w:rsidR="00237B50" w:rsidRDefault="00DD78D3">
            <w:pPr>
              <w:pStyle w:val="TAL"/>
              <w:spacing w:after="0"/>
              <w:rPr>
                <w:rFonts w:eastAsia="DengXian"/>
                <w:sz w:val="10"/>
              </w:rPr>
            </w:pPr>
            <w:r>
              <w:rPr>
                <w:rFonts w:eastAsia="DengXian"/>
                <w:sz w:val="10"/>
              </w:rPr>
              <w:t>16 ms</w:t>
            </w:r>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&lt; 10 ms</w:t>
            </w:r>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10 ms</w:t>
            </w:r>
          </w:p>
        </w:tc>
        <w:tc>
          <w:tcPr>
            <w:tcW w:w="355" w:type="pct"/>
          </w:tcPr>
          <w:p w14:paraId="57B07977" w14:textId="77777777" w:rsidR="00237B50" w:rsidRDefault="00DD78D3">
            <w:pPr>
              <w:pStyle w:val="TAL"/>
              <w:spacing w:after="0"/>
              <w:rPr>
                <w:sz w:val="10"/>
              </w:rPr>
            </w:pPr>
            <w:r>
              <w:rPr>
                <w:sz w:val="10"/>
              </w:rPr>
              <w:t>~10 ms</w:t>
            </w:r>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ms to 100 ms</w:t>
            </w:r>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ms to 100 ms</w:t>
            </w:r>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1 ms</w:t>
            </w:r>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1 ms</w:t>
            </w:r>
          </w:p>
        </w:tc>
        <w:tc>
          <w:tcPr>
            <w:tcW w:w="355" w:type="pct"/>
          </w:tcPr>
          <w:p w14:paraId="6869BD16" w14:textId="77777777" w:rsidR="00237B50" w:rsidRDefault="00DD78D3">
            <w:pPr>
              <w:pStyle w:val="TAL"/>
              <w:spacing w:after="0"/>
              <w:rPr>
                <w:sz w:val="10"/>
              </w:rPr>
            </w:pPr>
            <w:r>
              <w:rPr>
                <w:sz w:val="10"/>
              </w:rPr>
              <w:t>~ 1 ms</w:t>
            </w:r>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ms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2 ms</w:t>
            </w:r>
          </w:p>
        </w:tc>
        <w:tc>
          <w:tcPr>
            <w:tcW w:w="355" w:type="pct"/>
          </w:tcPr>
          <w:p w14:paraId="5B946853" w14:textId="77777777" w:rsidR="00237B50" w:rsidRDefault="00DD78D3">
            <w:pPr>
              <w:pStyle w:val="TAL"/>
              <w:spacing w:after="0"/>
              <w:rPr>
                <w:sz w:val="10"/>
              </w:rPr>
            </w:pPr>
            <w:r>
              <w:rPr>
                <w:sz w:val="10"/>
              </w:rPr>
              <w:t>~ 2 ms</w:t>
            </w:r>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&lt; 12 ms (note 7)</w:t>
            </w:r>
          </w:p>
        </w:tc>
        <w:tc>
          <w:tcPr>
            <w:tcW w:w="355" w:type="pct"/>
          </w:tcPr>
          <w:p w14:paraId="1997570C" w14:textId="77777777" w:rsidR="00237B50" w:rsidRDefault="00DD78D3">
            <w:pPr>
              <w:pStyle w:val="TAL"/>
              <w:spacing w:after="0"/>
              <w:rPr>
                <w:sz w:val="10"/>
              </w:rPr>
            </w:pPr>
            <w:r>
              <w:rPr>
                <w:sz w:val="10"/>
              </w:rPr>
              <w:t>12 ms</w:t>
            </w:r>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ms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ms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50 ms</w:t>
            </w:r>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100 ms</w:t>
            </w:r>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200 ms</w:t>
            </w:r>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ms to 100 ms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40 ms to 500 ms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100 ms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&lt; 2 ms</w:t>
            </w:r>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ms</w:t>
            </w:r>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&lt; 20 ms</w:t>
            </w:r>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ms</w:t>
            </w:r>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&lt; 20 ms</w:t>
            </w:r>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ms</w:t>
            </w:r>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(ProSe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(ProSe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This covers different transfer intervals for different similar use cases with target values of 1 ms, 1 ms to 10 ms, and 10 ms to 50 ms.</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Service Area for direct communication between U</w:t>
            </w:r>
            <w:r w:rsidR="008C09EE">
              <w:rPr>
                <w:rFonts w:eastAsia="DengXian"/>
                <w:sz w:val="10"/>
              </w:rPr>
              <w:t>e</w:t>
            </w:r>
            <w:r>
              <w:rPr>
                <w:rFonts w:eastAsia="DengXian"/>
                <w:sz w:val="10"/>
              </w:rPr>
              <w:t>s. The group of U</w:t>
            </w:r>
            <w:r w:rsidR="008C09EE">
              <w:rPr>
                <w:rFonts w:eastAsia="DengXian"/>
                <w:sz w:val="10"/>
              </w:rPr>
              <w:t>e</w:t>
            </w:r>
            <w:r>
              <w:rPr>
                <w:rFonts w:eastAsia="DengXian"/>
                <w:sz w:val="10"/>
              </w:rPr>
              <w:t xml:space="preserve">s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Maximum straight-line distance between U</w:t>
            </w:r>
            <w:r w:rsidR="008C09EE">
              <w:rPr>
                <w:sz w:val="10"/>
              </w:rPr>
              <w:t>e</w:t>
            </w:r>
            <w:r>
              <w:rPr>
                <w:sz w:val="10"/>
              </w:rPr>
              <w:t xml:space="preserve">s.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a0"/>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In order to guarantee the service availability of an application with survival time requirement, RAN shall improve its transmission reliability if the application enters survival time, e.g. a packet is lost or delayed during Uu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r>
              <w:t>Also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r>
              <w:rPr>
                <w:rFonts w:eastAsiaTheme="minorEastAsia"/>
                <w:lang w:eastAsia="zh-CN"/>
              </w:rPr>
              <w:t>Futurewei</w:t>
            </w:r>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(i.e. transmission scheme with lower reliability) first. When enters survival time, RAN choose enhanced scheme (i.e.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enhanced scheme (i.e. transmission scheme with higher reliability) first. </w:t>
            </w:r>
            <w:r>
              <w:rPr>
                <w:rFonts w:eastAsiaTheme="minorEastAsia"/>
                <w:lang w:eastAsia="zh-CN"/>
              </w:rPr>
              <w:t>S</w:t>
            </w:r>
            <w:r>
              <w:rPr>
                <w:rFonts w:eastAsiaTheme="minorEastAsia" w:hint="eastAsia"/>
                <w:lang w:eastAsia="zh-CN"/>
              </w:rPr>
              <w:t xml:space="preserve">till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(i.e.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F83A343">
        <w:tc>
          <w:tcPr>
            <w:tcW w:w="1106" w:type="dxa"/>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1039" w:type="dxa"/>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6157" w:type="dxa"/>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F83A343">
        <w:tc>
          <w:tcPr>
            <w:tcW w:w="1106" w:type="dxa"/>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1039" w:type="dxa"/>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ＭＳ 明朝" w:hint="eastAsia"/>
                <w:lang w:eastAsia="ja-JP"/>
              </w:rPr>
            </w:pPr>
            <w:r>
              <w:rPr>
                <w:rFonts w:eastAsia="ＭＳ 明朝" w:hint="eastAsia"/>
                <w:lang w:eastAsia="ja-JP"/>
              </w:rPr>
              <w:t>Y</w:t>
            </w:r>
            <w:r>
              <w:rPr>
                <w:rFonts w:eastAsia="ＭＳ 明朝"/>
                <w:lang w:eastAsia="ja-JP"/>
              </w:rPr>
              <w:t>es</w:t>
            </w:r>
          </w:p>
        </w:tc>
        <w:tc>
          <w:tcPr>
            <w:tcW w:w="6157" w:type="dxa"/>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ＭＳ 明朝" w:hint="eastAsia"/>
                <w:lang w:eastAsia="ja-JP"/>
              </w:rPr>
              <w:t>I</w:t>
            </w:r>
            <w:r>
              <w:rPr>
                <w:rFonts w:eastAsia="ＭＳ 明朝"/>
                <w:lang w:eastAsia="ja-JP"/>
              </w:rPr>
              <w:t>t is ok as a baseline. Incidentally, one question is if the rapporteur is trying to capture something in specification e.g. TS38.300. If it is, then exact wording would be improved as suggested above.</w:t>
            </w:r>
          </w:p>
        </w:tc>
      </w:tr>
    </w:tbl>
    <w:p w14:paraId="7518DDB0" w14:textId="77777777" w:rsidR="00237B50" w:rsidRDefault="00237B50">
      <w:pPr>
        <w:pStyle w:val="a0"/>
        <w:spacing w:before="120"/>
        <w:rPr>
          <w:rFonts w:eastAsiaTheme="minorEastAsia"/>
          <w:lang w:eastAsia="zh-CN"/>
        </w:rPr>
      </w:pPr>
    </w:p>
    <w:p w14:paraId="55FDA1A5" w14:textId="77777777" w:rsidR="00237B50" w:rsidRDefault="00DD78D3">
      <w:pPr>
        <w:pStyle w:val="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afe"/>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afe"/>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afe"/>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lists the following drawbacks associated with such a solution for such usecase:</w:t>
      </w:r>
    </w:p>
    <w:p w14:paraId="469ADBC7" w14:textId="77777777" w:rsidR="00237B50" w:rsidRDefault="00DD78D3">
      <w:pPr>
        <w:pStyle w:val="a0"/>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a0"/>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a0"/>
        <w:numPr>
          <w:ilvl w:val="0"/>
          <w:numId w:val="10"/>
        </w:numPr>
        <w:rPr>
          <w:lang w:eastAsia="zh-CN"/>
        </w:rPr>
      </w:pPr>
      <w:r>
        <w:rPr>
          <w:lang w:eastAsia="zh-CN"/>
        </w:rPr>
        <w:t>it can only work with Type 2 CGs, not Type 1 CGs</w:t>
      </w:r>
    </w:p>
    <w:p w14:paraId="0897EF61" w14:textId="77777777" w:rsidR="00237B50" w:rsidRDefault="00DD78D3">
      <w:pPr>
        <w:pStyle w:val="a0"/>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afe"/>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afe"/>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afe"/>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ＭＳ 明朝"/>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ＭＳ 明朝"/>
                <w:szCs w:val="20"/>
                <w:lang w:val="en-GB" w:eastAsia="zh-TW"/>
              </w:rPr>
              <w:t xml:space="preserve">     </w:t>
            </w:r>
          </w:p>
          <w:p w14:paraId="1AC7823D" w14:textId="5BEE14BB" w:rsidR="008F3D75" w:rsidRDefault="008F3D75" w:rsidP="00E05297">
            <w:pPr>
              <w:spacing w:after="0"/>
              <w:jc w:val="both"/>
              <w:rPr>
                <w:rFonts w:eastAsia="ＭＳ 明朝"/>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reception of a PDCP SDU from upper layers, the transmitting PDCP entity shall, start the discardTimer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“delay“ transmission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ＭＳ 明朝"/>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afe"/>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usecase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behaviour is predictable. Furthermore, UE could for example apply some smart pre-processing technique, e.g. pre-process the RLC PDUs in advance, in order to meet the processing timing constraints. </w:t>
            </w:r>
          </w:p>
        </w:tc>
      </w:tr>
      <w:tr w:rsidR="00E01369" w14:paraId="5977AD9B" w14:textId="77777777" w:rsidTr="0F83A343">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5" w:type="pct"/>
          </w:tcPr>
          <w:p w14:paraId="1DFBAE84" w14:textId="01C5BFBB" w:rsidR="00E01369" w:rsidRDefault="00E01369" w:rsidP="007520FD">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afe"/>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afe"/>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Considering the processing delay (i.e. 5ms for MAC CE and 10ms for RRCReconfig)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r>
              <w:rPr>
                <w:rFonts w:eastAsiaTheme="minorEastAsia"/>
                <w:lang w:eastAsia="zh-CN"/>
              </w:rPr>
              <w:t>Futurewei</w:t>
            </w:r>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r>
              <w:rPr>
                <w:rFonts w:eastAsiaTheme="minorEastAsia"/>
                <w:lang w:eastAsia="zh-CN"/>
              </w:rPr>
              <w:t xml:space="preserve">Yes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afe"/>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afe"/>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afe"/>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afe"/>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r w:rsidRPr="00DC77CB">
              <w:rPr>
                <w:rFonts w:eastAsia="Arial Unicode MS"/>
                <w:lang w:eastAsia="zh-CN"/>
              </w:rPr>
              <w:t>So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AN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F83A343">
        <w:trPr>
          <w:trHeight w:val="600"/>
        </w:trPr>
        <w:tc>
          <w:tcPr>
            <w:tcW w:w="1106" w:type="dxa"/>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961" w:type="dxa"/>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6235" w:type="dxa"/>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F83A343">
        <w:trPr>
          <w:trHeight w:val="600"/>
        </w:trPr>
        <w:tc>
          <w:tcPr>
            <w:tcW w:w="1106" w:type="dxa"/>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961" w:type="dxa"/>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ＭＳ 明朝" w:hint="eastAsia"/>
                <w:lang w:eastAsia="ja-JP"/>
              </w:rPr>
            </w:pPr>
            <w:r>
              <w:rPr>
                <w:rFonts w:eastAsia="ＭＳ 明朝" w:hint="eastAsia"/>
                <w:lang w:eastAsia="ja-JP"/>
              </w:rPr>
              <w:t>N</w:t>
            </w:r>
            <w:r>
              <w:rPr>
                <w:rFonts w:eastAsia="ＭＳ 明朝"/>
                <w:lang w:eastAsia="ja-JP"/>
              </w:rPr>
              <w:t>o</w:t>
            </w:r>
          </w:p>
        </w:tc>
        <w:tc>
          <w:tcPr>
            <w:tcW w:w="6235" w:type="dxa"/>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ＭＳ 明朝"/>
                <w:lang w:eastAsia="ja-JP"/>
              </w:rPr>
              <w:t>Leaving everything up to NW implementation is not suitable. RAN2 should consider NW-controlled UE-based ST management.</w:t>
            </w:r>
          </w:p>
        </w:tc>
      </w:tr>
    </w:tbl>
    <w:p w14:paraId="7DC64183" w14:textId="77777777" w:rsidR="00237B50" w:rsidRDefault="00237B50">
      <w:pPr>
        <w:pStyle w:val="a0"/>
        <w:spacing w:before="120"/>
        <w:rPr>
          <w:rFonts w:eastAsiaTheme="minorEastAsia"/>
          <w:lang w:eastAsia="zh-CN"/>
        </w:rPr>
      </w:pPr>
    </w:p>
    <w:p w14:paraId="39CC30DB" w14:textId="77777777" w:rsidR="00237B50" w:rsidRDefault="00DD78D3">
      <w:pPr>
        <w:pStyle w:val="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afe"/>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afe"/>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afe"/>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Huawei, HiSilicon</w:t>
            </w:r>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afe"/>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6AE9A2EC" w14:textId="77777777" w:rsidR="00533E2A" w:rsidRDefault="00533E2A" w:rsidP="00B5424A">
            <w:pPr>
              <w:pStyle w:val="afe"/>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afe"/>
              <w:numPr>
                <w:ilvl w:val="0"/>
                <w:numId w:val="24"/>
              </w:numPr>
              <w:spacing w:after="0"/>
              <w:jc w:val="both"/>
            </w:pPr>
            <w:r>
              <w:rPr>
                <w:bCs/>
              </w:rPr>
              <w:t>ST</w:t>
            </w:r>
            <w:r w:rsidRPr="009141A0">
              <w:rPr>
                <w:bCs/>
              </w:rPr>
              <w:t xml:space="preserve"> support in UE-to-UE communications</w:t>
            </w:r>
            <w:r>
              <w:rPr>
                <w:bCs/>
              </w:rPr>
              <w:t xml:space="preserve"> (possibly involving multiple gNBs): there are 2 different usecases brought up by SA1:</w:t>
            </w:r>
          </w:p>
          <w:p w14:paraId="77568E7A" w14:textId="77777777" w:rsidR="00533E2A" w:rsidRPr="00533E2A" w:rsidRDefault="00533E2A" w:rsidP="00533E2A">
            <w:pPr>
              <w:pStyle w:val="afe"/>
              <w:numPr>
                <w:ilvl w:val="1"/>
                <w:numId w:val="24"/>
              </w:numPr>
              <w:spacing w:after="0"/>
              <w:jc w:val="both"/>
              <w:rPr>
                <w:rFonts w:eastAsiaTheme="minorEastAsia"/>
                <w:lang w:eastAsia="zh-CN"/>
              </w:rPr>
            </w:pPr>
            <w:r w:rsidRPr="00457CAE">
              <w:t>Distributed automated switching for isolation and service restoration</w:t>
            </w:r>
            <w:r>
              <w:t>: for such usecase,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afe"/>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usecase is 3x the transfer interval, i.e. 3ms which leaves 1.5ms for each Uu which is therefore 3 times less stringent than the single link of usecase #1 in Table 5-2.1. We don’t see a problem with implementing the reactive trigger for the Uu used in UL. And as agreed in RAN2#113, the ST for the Uu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gNB for DL notify the gNB for UL as well in order to boost reliability end-to-end ?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preallocation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However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r>
              <w:rPr>
                <w:rFonts w:eastAsiaTheme="minorEastAsia"/>
                <w:lang w:eastAsia="zh-CN"/>
              </w:rPr>
              <w:t>Futurewei</w:t>
            </w:r>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UE-based with proactive trigger scheme means that, even there is no any packet transmission failure, the reliability for some packets would be proactively(or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ＭＳ 明朝"/>
                <w:lang w:eastAsia="ja-JP"/>
              </w:rPr>
            </w:pPr>
            <w:r>
              <w:rPr>
                <w:rFonts w:eastAsia="ＭＳ 明朝"/>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hint="eastAsia"/>
                <w:lang w:eastAsia="zh-CN"/>
              </w:rPr>
            </w:pPr>
            <w:r>
              <w:rPr>
                <w:rFonts w:eastAsia="ＭＳ 明朝" w:hint="eastAsia"/>
                <w:lang w:eastAsia="ja-JP"/>
              </w:rPr>
              <w:t>W</w:t>
            </w:r>
            <w:r>
              <w:rPr>
                <w:rFonts w:eastAsia="ＭＳ 明朝"/>
                <w:lang w:eastAsia="ja-JP"/>
              </w:rPr>
              <w:t>hat’s important is that the trigger would be NW-controlled UE-based trigger. As long as this basic is kept, we are ok with SN-based proactive ST trigger.</w:t>
            </w:r>
          </w:p>
        </w:tc>
      </w:tr>
    </w:tbl>
    <w:p w14:paraId="22726A96" w14:textId="77777777" w:rsidR="00237B50" w:rsidRPr="0061415C" w:rsidRDefault="00237B50">
      <w:pPr>
        <w:pStyle w:val="a0"/>
        <w:spacing w:before="120"/>
        <w:rPr>
          <w:rFonts w:eastAsiaTheme="minorEastAsia"/>
          <w:lang w:eastAsia="zh-CN"/>
        </w:rPr>
      </w:pPr>
    </w:p>
    <w:p w14:paraId="1A6FBEA8" w14:textId="77777777" w:rsidR="00237B50" w:rsidRDefault="00DD78D3">
      <w:pPr>
        <w:pStyle w:val="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 xml:space="preserve">Answering Ericsson: sorry if we were unclear. Let me try again: taking, as an example, HARQ-NACK feedback (e.g. ReTx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afe"/>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afe"/>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afe"/>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(e.g.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r>
              <w:rPr>
                <w:rFonts w:eastAsiaTheme="minorEastAsia"/>
                <w:lang w:eastAsia="zh-CN"/>
              </w:rPr>
              <w:t>Futurewei</w:t>
            </w:r>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ＭＳ 明朝" w:hint="eastAsia"/>
                <w:lang w:eastAsia="ja-JP"/>
              </w:rPr>
            </w:pPr>
            <w:r>
              <w:rPr>
                <w:rFonts w:eastAsia="ＭＳ 明朝" w:hint="eastAsia"/>
                <w:lang w:eastAsia="ja-JP"/>
              </w:rPr>
              <w:t>Y</w:t>
            </w:r>
            <w:r>
              <w:rPr>
                <w:rFonts w:eastAsia="ＭＳ 明朝"/>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hint="eastAsia"/>
                <w:lang w:eastAsia="zh-CN"/>
              </w:rPr>
            </w:pPr>
            <w:r>
              <w:rPr>
                <w:rFonts w:eastAsia="ＭＳ 明朝" w:hint="eastAsia"/>
                <w:lang w:eastAsia="ja-JP"/>
              </w:rPr>
              <w:t>A</w:t>
            </w:r>
            <w:r>
              <w:rPr>
                <w:rFonts w:eastAsia="ＭＳ 明朝"/>
                <w:lang w:eastAsia="ja-JP"/>
              </w:rPr>
              <w:t>s long as the intention of “reactive” is NW-controlled reactive trigger, it is ok to us. During ST duration, the UE takes some actions for boosting the reliability by e.g. the UE-based PDCP duplication.</w:t>
            </w:r>
          </w:p>
        </w:tc>
      </w:tr>
    </w:tbl>
    <w:p w14:paraId="54FC58F7" w14:textId="77777777" w:rsidR="00237B50" w:rsidRDefault="00237B50">
      <w:pPr>
        <w:jc w:val="both"/>
      </w:pPr>
    </w:p>
    <w:p w14:paraId="6FEDDD22"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afe"/>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afe"/>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r>
              <w:rPr>
                <w:rFonts w:eastAsia="SimSun"/>
                <w:lang w:eastAsia="zh-CN"/>
              </w:rPr>
              <w:t>Generally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afe"/>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afe"/>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afe"/>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r w:rsidR="005A3CC0">
              <w:t xml:space="preserve">ReTx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r w:rsidR="005A3CC0">
              <w:t xml:space="preserve">ReTx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(i.e.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ＭＳ 明朝" w:hint="eastAsia"/>
                <w:lang w:eastAsia="ja-JP"/>
              </w:rPr>
            </w:pPr>
            <w:r>
              <w:rPr>
                <w:rFonts w:eastAsia="ＭＳ 明朝" w:hint="eastAsia"/>
                <w:lang w:eastAsia="ja-JP"/>
              </w:rPr>
              <w:t>N</w:t>
            </w:r>
            <w:r>
              <w:rPr>
                <w:rFonts w:eastAsia="ＭＳ 明朝"/>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hint="eastAsia"/>
                <w:lang w:eastAsia="zh-CN"/>
              </w:rPr>
            </w:pPr>
            <w:r>
              <w:rPr>
                <w:rFonts w:eastAsia="ＭＳ 明朝"/>
                <w:lang w:eastAsia="ja-JP"/>
              </w:rPr>
              <w:t xml:space="preserve">The motivation to introduce a time is unclear. </w:t>
            </w:r>
            <w:r>
              <w:rPr>
                <w:rFonts w:eastAsia="ＭＳ 明朝" w:hint="eastAsia"/>
                <w:lang w:eastAsia="ja-JP"/>
              </w:rPr>
              <w:t>W</w:t>
            </w:r>
            <w:r>
              <w:rPr>
                <w:rFonts w:eastAsia="ＭＳ 明朝"/>
                <w:lang w:eastAsia="ja-JP"/>
              </w:rPr>
              <w:t>hen the UE receives a DG indicating retransmission for a TB, the UE can start ST entering procedure.</w:t>
            </w:r>
          </w:p>
        </w:tc>
      </w:tr>
    </w:tbl>
    <w:p w14:paraId="429DD441" w14:textId="77777777" w:rsidR="00237B50" w:rsidRDefault="00237B50">
      <w:pPr>
        <w:jc w:val="both"/>
      </w:pPr>
    </w:p>
    <w:p w14:paraId="3BE49C21" w14:textId="77777777" w:rsidR="00237B50" w:rsidRDefault="00DD78D3">
      <w:pPr>
        <w:pStyle w:val="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158"/>
      </w:tblGrid>
      <w:tr w:rsidR="00237B50" w14:paraId="6E927C8E" w14:textId="77777777" w:rsidTr="001D4C6E">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1D4C6E">
        <w:tc>
          <w:tcPr>
            <w:tcW w:w="666" w:type="pct"/>
            <w:tcBorders>
              <w:top w:val="single" w:sz="4" w:space="0" w:color="auto"/>
            </w:tcBorders>
          </w:tcPr>
          <w:p w14:paraId="04C14C99" w14:textId="77777777" w:rsidR="00237B50" w:rsidRDefault="00DD78D3">
            <w:pPr>
              <w:spacing w:after="0"/>
              <w:jc w:val="both"/>
            </w:pPr>
            <w:r>
              <w:t>Ericsson</w:t>
            </w:r>
          </w:p>
        </w:tc>
        <w:tc>
          <w:tcPr>
            <w:tcW w:w="579"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afe"/>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afe"/>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afe"/>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1D4C6E">
        <w:tc>
          <w:tcPr>
            <w:tcW w:w="666" w:type="pct"/>
          </w:tcPr>
          <w:p w14:paraId="6901D292" w14:textId="77777777" w:rsidR="00237B50" w:rsidRDefault="00DD78D3">
            <w:pPr>
              <w:spacing w:after="0"/>
              <w:jc w:val="both"/>
            </w:pPr>
            <w:r>
              <w:t>Samsung</w:t>
            </w:r>
          </w:p>
        </w:tc>
        <w:tc>
          <w:tcPr>
            <w:tcW w:w="579" w:type="pct"/>
          </w:tcPr>
          <w:p w14:paraId="05F82819" w14:textId="77777777" w:rsidR="00237B50" w:rsidRDefault="00DD78D3">
            <w:pPr>
              <w:spacing w:after="0"/>
              <w:jc w:val="both"/>
            </w:pPr>
            <w:r>
              <w:t>Yes</w:t>
            </w:r>
          </w:p>
        </w:tc>
        <w:tc>
          <w:tcPr>
            <w:tcW w:w="3755" w:type="pct"/>
          </w:tcPr>
          <w:p w14:paraId="1C2700A1" w14:textId="77777777" w:rsidR="00237B50" w:rsidRDefault="00DD78D3">
            <w:pPr>
              <w:spacing w:after="0"/>
              <w:jc w:val="both"/>
            </w:pPr>
            <w:r>
              <w:t>We could consider this.</w:t>
            </w:r>
          </w:p>
        </w:tc>
      </w:tr>
      <w:tr w:rsidR="00237B50" w14:paraId="12001AD1" w14:textId="77777777" w:rsidTr="001D4C6E">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1D4C6E">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1EEA92E9" w14:textId="77777777" w:rsidR="00C717E1" w:rsidRDefault="00C717E1" w:rsidP="00C717E1">
            <w:pPr>
              <w:spacing w:after="0"/>
              <w:jc w:val="both"/>
              <w:rPr>
                <w:rFonts w:eastAsiaTheme="minorEastAsia"/>
                <w:lang w:eastAsia="zh-CN"/>
              </w:rPr>
            </w:pPr>
            <w:r>
              <w:t>See comment</w:t>
            </w:r>
          </w:p>
        </w:tc>
        <w:tc>
          <w:tcPr>
            <w:tcW w:w="3755"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1D4C6E">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55"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1D4C6E">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1D4C6E">
        <w:tc>
          <w:tcPr>
            <w:tcW w:w="666" w:type="pct"/>
          </w:tcPr>
          <w:p w14:paraId="67825888" w14:textId="77777777" w:rsidR="00591C57" w:rsidRDefault="00591C57" w:rsidP="00C717E1">
            <w:pPr>
              <w:spacing w:after="0"/>
              <w:jc w:val="both"/>
              <w:rPr>
                <w:rFonts w:eastAsiaTheme="minorEastAsia"/>
                <w:lang w:eastAsia="zh-CN"/>
              </w:rPr>
            </w:pPr>
            <w:r>
              <w:t>CATT</w:t>
            </w:r>
          </w:p>
        </w:tc>
        <w:tc>
          <w:tcPr>
            <w:tcW w:w="579" w:type="pct"/>
          </w:tcPr>
          <w:p w14:paraId="0E8B4C20" w14:textId="77777777" w:rsidR="00591C57" w:rsidRDefault="00591C57" w:rsidP="00C717E1">
            <w:pPr>
              <w:spacing w:after="0"/>
              <w:jc w:val="both"/>
              <w:rPr>
                <w:rFonts w:eastAsiaTheme="minorEastAsia"/>
                <w:lang w:eastAsia="zh-CN"/>
              </w:rPr>
            </w:pPr>
            <w:r>
              <w:t>Yes</w:t>
            </w:r>
          </w:p>
        </w:tc>
        <w:tc>
          <w:tcPr>
            <w:tcW w:w="3755" w:type="pct"/>
          </w:tcPr>
          <w:p w14:paraId="10F41EA0" w14:textId="77777777" w:rsidR="00591C57" w:rsidRDefault="00591C57" w:rsidP="00B5424A">
            <w:pPr>
              <w:spacing w:after="0"/>
              <w:jc w:val="both"/>
            </w:pPr>
            <w:r>
              <w:t>This solution does not require any new timer and does not mandate gNB sending back HARQ-ACK for every successful packet. So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1D4C6E">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55"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1D4C6E">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1D4C6E">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55"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1D4C6E">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5"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1D4C6E">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55"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1D4C6E">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55"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1D4C6E">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r>
              <w:rPr>
                <w:rFonts w:eastAsiaTheme="minorEastAsia"/>
                <w:lang w:eastAsia="zh-CN"/>
              </w:rPr>
              <w:t xml:space="preserve">ReTx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e.g., depending on the gNB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Or if it wants to avoid such process, the gNB’s</w:t>
            </w:r>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1D4C6E">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55"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(i.e, entering ST once the failure of a packet is detected) , we are also open to consider this solution.</w:t>
            </w:r>
          </w:p>
        </w:tc>
      </w:tr>
      <w:tr w:rsidR="00577E98" w14:paraId="58AFE322" w14:textId="77777777" w:rsidTr="001D4C6E">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ＭＳ 明朝" w:hint="eastAsia"/>
                <w:lang w:eastAsia="ja-JP"/>
              </w:rPr>
            </w:pPr>
            <w:r>
              <w:rPr>
                <w:rFonts w:eastAsia="ＭＳ 明朝" w:hint="eastAsia"/>
                <w:lang w:eastAsia="ja-JP"/>
              </w:rPr>
              <w:t>N</w:t>
            </w:r>
            <w:r>
              <w:rPr>
                <w:rFonts w:eastAsia="ＭＳ 明朝"/>
                <w:lang w:eastAsia="ja-JP"/>
              </w:rPr>
              <w:t>o</w:t>
            </w:r>
          </w:p>
        </w:tc>
        <w:tc>
          <w:tcPr>
            <w:tcW w:w="3755"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ＭＳ 明朝"/>
                <w:lang w:eastAsia="ja-JP"/>
              </w:rPr>
            </w:pPr>
            <w:r>
              <w:rPr>
                <w:rFonts w:eastAsia="ＭＳ 明朝" w:hint="eastAsia"/>
                <w:lang w:eastAsia="ja-JP"/>
              </w:rPr>
              <w:t>T</w:t>
            </w:r>
            <w:r>
              <w:rPr>
                <w:rFonts w:eastAsia="ＭＳ 明朝"/>
                <w:lang w:eastAsia="ja-JP"/>
              </w:rPr>
              <w:t xml:space="preserve">he UE may receive multiple L1 NACKs (i.e.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hint="eastAsia"/>
                <w:lang w:eastAsia="zh-CN"/>
              </w:rPr>
            </w:pPr>
            <w:r>
              <w:rPr>
                <w:rFonts w:eastAsia="ＭＳ 明朝" w:hint="eastAsia"/>
                <w:lang w:eastAsia="ja-JP"/>
              </w:rPr>
              <w:t>T</w:t>
            </w:r>
            <w:r>
              <w:rPr>
                <w:rFonts w:eastAsia="ＭＳ 明朝"/>
                <w:lang w:eastAsia="ja-JP"/>
              </w:rPr>
              <w:t>he UE may not have enough timer to process RLC STATUS PDU in case of ST is very short. In such case, it is difficult to do counting.</w:t>
            </w:r>
          </w:p>
        </w:tc>
      </w:tr>
    </w:tbl>
    <w:p w14:paraId="5FE67E12" w14:textId="77777777" w:rsidR="00237B50" w:rsidRDefault="00237B50">
      <w:pPr>
        <w:jc w:val="both"/>
      </w:pPr>
    </w:p>
    <w:p w14:paraId="287F6D47" w14:textId="77777777" w:rsidR="00237B50" w:rsidRDefault="00DD78D3">
      <w:pPr>
        <w:pStyle w:val="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ＭＳ 明朝" w:hAnsi="Arial"/>
          <w:lang w:val="en-GB" w:eastAsia="en-GB"/>
        </w:rPr>
      </w:pPr>
      <w:r>
        <w:rPr>
          <w:rFonts w:ascii="Arial" w:eastAsia="ＭＳ 明朝" w:hAnsi="Arial"/>
          <w:i/>
          <w:iCs/>
          <w:lang w:val="en-GB" w:eastAsia="en-GB"/>
        </w:rPr>
        <w:t>-</w:t>
      </w:r>
      <w:r>
        <w:rPr>
          <w:rFonts w:ascii="Arial" w:eastAsia="ＭＳ 明朝"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cg-RetransmissionTimer</w:t>
      </w:r>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r>
              <w:rPr>
                <w:rFonts w:eastAsiaTheme="minorEastAsia"/>
                <w:lang w:eastAsia="zh-CN"/>
              </w:rPr>
              <w:t>Futurewei</w:t>
            </w:r>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109E8752">
        <w:tc>
          <w:tcPr>
            <w:tcW w:w="1105" w:type="dxa"/>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829" w:type="dxa"/>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6368" w:type="dxa"/>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109E8752">
        <w:tc>
          <w:tcPr>
            <w:tcW w:w="1105" w:type="dxa"/>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829" w:type="dxa"/>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ＭＳ 明朝" w:hint="eastAsia"/>
                <w:lang w:eastAsia="ja-JP"/>
              </w:rPr>
            </w:pPr>
            <w:r>
              <w:rPr>
                <w:rFonts w:eastAsia="ＭＳ 明朝" w:hint="eastAsia"/>
                <w:lang w:eastAsia="ja-JP"/>
              </w:rPr>
              <w:t>N</w:t>
            </w:r>
            <w:r>
              <w:rPr>
                <w:rFonts w:eastAsia="ＭＳ 明朝"/>
                <w:lang w:eastAsia="ja-JP"/>
              </w:rPr>
              <w:t>o</w:t>
            </w:r>
          </w:p>
        </w:tc>
        <w:tc>
          <w:tcPr>
            <w:tcW w:w="6368" w:type="dxa"/>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ＭＳ 明朝"/>
                <w:lang w:eastAsia="ja-JP"/>
              </w:rPr>
              <w:t>Prefer to have unified mechanism regardless of whether it is UCE or not.</w:t>
            </w:r>
          </w:p>
        </w:tc>
      </w:tr>
    </w:tbl>
    <w:p w14:paraId="3F2D21CF" w14:textId="77777777" w:rsidR="00237B50" w:rsidRDefault="00237B50">
      <w:pPr>
        <w:jc w:val="both"/>
      </w:pPr>
    </w:p>
    <w:p w14:paraId="4176E734" w14:textId="77777777" w:rsidR="00237B50" w:rsidRDefault="00DD78D3">
      <w:pPr>
        <w:pStyle w:val="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afe"/>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afe"/>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afe"/>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F83A343">
        <w:tc>
          <w:tcPr>
            <w:tcW w:w="1105" w:type="dxa"/>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829" w:type="dxa"/>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6368" w:type="dxa"/>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F83A343">
        <w:tc>
          <w:tcPr>
            <w:tcW w:w="1105" w:type="dxa"/>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829" w:type="dxa"/>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ＭＳ 明朝" w:hint="eastAsia"/>
                <w:lang w:eastAsia="ja-JP"/>
              </w:rPr>
            </w:pPr>
            <w:r>
              <w:rPr>
                <w:rFonts w:eastAsia="ＭＳ 明朝" w:hint="eastAsia"/>
                <w:lang w:eastAsia="ja-JP"/>
              </w:rPr>
              <w:t>Y</w:t>
            </w:r>
            <w:r>
              <w:rPr>
                <w:rFonts w:eastAsia="ＭＳ 明朝"/>
                <w:lang w:eastAsia="ja-JP"/>
              </w:rPr>
              <w:t>es</w:t>
            </w:r>
          </w:p>
        </w:tc>
        <w:tc>
          <w:tcPr>
            <w:tcW w:w="6368" w:type="dxa"/>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ＭＳ 明朝" w:hint="eastAsia"/>
                <w:lang w:eastAsia="ja-JP"/>
              </w:rPr>
              <w:t>T</w:t>
            </w:r>
            <w:r>
              <w:rPr>
                <w:rFonts w:eastAsia="ＭＳ 明朝"/>
                <w:lang w:eastAsia="ja-JP"/>
              </w:rPr>
              <w:t>he UE-based PDCP duplication is fundamental mechanism to boost the reliability because securing redundancy is the key technic to boost the reliability in IIOT. The resource cost is acceptable since ST occurs rarely.</w:t>
            </w:r>
          </w:p>
        </w:tc>
      </w:tr>
    </w:tbl>
    <w:p w14:paraId="6C77A420" w14:textId="77777777" w:rsidR="00237B50" w:rsidRDefault="00237B50">
      <w:pPr>
        <w:jc w:val="both"/>
      </w:pPr>
    </w:p>
    <w:p w14:paraId="44E05DBB" w14:textId="77777777" w:rsidR="00237B50" w:rsidRDefault="00DD78D3">
      <w:pPr>
        <w:pStyle w:val="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r>
              <w:rPr>
                <w:rFonts w:eastAsiaTheme="minorEastAsia"/>
                <w:lang w:eastAsia="zh-CN"/>
              </w:rPr>
              <w:t>Futurewei</w:t>
            </w:r>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e.g.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ＭＳ 明朝" w:hint="eastAsia"/>
                <w:lang w:eastAsia="ja-JP"/>
              </w:rPr>
            </w:pPr>
            <w:r>
              <w:rPr>
                <w:rFonts w:eastAsia="ＭＳ 明朝" w:hint="eastAsia"/>
                <w:lang w:eastAsia="ja-JP"/>
              </w:rPr>
              <w:t>Y</w:t>
            </w:r>
            <w:r>
              <w:rPr>
                <w:rFonts w:eastAsia="ＭＳ 明朝"/>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hint="eastAsia"/>
                <w:lang w:eastAsia="zh-CN"/>
              </w:rPr>
            </w:pPr>
            <w:r>
              <w:rPr>
                <w:rFonts w:eastAsia="ＭＳ 明朝"/>
                <w:lang w:eastAsia="ja-JP"/>
              </w:rPr>
              <w:t>Pre-configuring different L2 parameters to LCH during ST, for example assigning shorter time of PUSCH duration and high priority, would be worth considering.</w:t>
            </w:r>
          </w:p>
        </w:tc>
      </w:tr>
    </w:tbl>
    <w:p w14:paraId="6EFF6479" w14:textId="77777777" w:rsidR="00237B50" w:rsidRDefault="00237B50">
      <w:pPr>
        <w:pStyle w:val="a0"/>
      </w:pPr>
    </w:p>
    <w:p w14:paraId="56BE6BE5" w14:textId="77777777" w:rsidR="00237B50" w:rsidRDefault="00DD78D3">
      <w:pPr>
        <w:pStyle w:val="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afe"/>
        <w:numPr>
          <w:ilvl w:val="0"/>
          <w:numId w:val="18"/>
        </w:numPr>
      </w:pPr>
      <w:r>
        <w:t>Survival Time timer</w:t>
      </w:r>
    </w:p>
    <w:p w14:paraId="3CB67A67" w14:textId="77777777" w:rsidR="00237B50" w:rsidRDefault="00DD78D3">
      <w:pPr>
        <w:pStyle w:val="afe"/>
        <w:numPr>
          <w:ilvl w:val="0"/>
          <w:numId w:val="18"/>
        </w:numPr>
      </w:pPr>
      <w:r>
        <w:t>Return to normal state</w:t>
      </w:r>
    </w:p>
    <w:p w14:paraId="3F82A406" w14:textId="77777777" w:rsidR="00237B50" w:rsidRDefault="00DD78D3">
      <w:pPr>
        <w:pStyle w:val="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afe"/>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afe"/>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afe"/>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We think that some action is always needed upon ST expiry, even if it is just to return to “normal” state. So yes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r>
              <w:rPr>
                <w:rFonts w:eastAsiaTheme="minorEastAsia"/>
                <w:lang w:eastAsia="zh-CN"/>
              </w:rPr>
              <w:t>Futurewei</w:t>
            </w:r>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r>
              <w:rPr>
                <w:rFonts w:eastAsiaTheme="minorEastAsia"/>
                <w:lang w:eastAsia="zh-CN"/>
              </w:rPr>
              <w:t xml:space="preserve">Generally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afe"/>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afe"/>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activates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afe"/>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afe"/>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14:paraId="042C4174" w14:textId="77777777" w:rsidR="005A42BF" w:rsidRDefault="005A42BF" w:rsidP="000A3DEF">
            <w:pPr>
              <w:pStyle w:val="afe"/>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ＭＳ 明朝" w:hint="eastAsia"/>
                <w:lang w:eastAsia="ja-JP"/>
              </w:rPr>
            </w:pPr>
            <w:r>
              <w:rPr>
                <w:rFonts w:eastAsia="ＭＳ 明朝" w:hint="eastAsia"/>
                <w:lang w:eastAsia="ja-JP"/>
              </w:rPr>
              <w:t>N</w:t>
            </w:r>
            <w:r>
              <w:rPr>
                <w:rFonts w:eastAsia="ＭＳ 明朝"/>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hint="eastAsia"/>
                <w:lang w:eastAsia="zh-CN"/>
              </w:rPr>
            </w:pPr>
            <w:r>
              <w:rPr>
                <w:rFonts w:eastAsia="ＭＳ 明朝"/>
                <w:lang w:eastAsia="ja-JP"/>
              </w:rPr>
              <w:t>The motivation of defining standardized ST timer is unclear.</w:t>
            </w:r>
          </w:p>
        </w:tc>
      </w:tr>
    </w:tbl>
    <w:p w14:paraId="2755493D" w14:textId="77777777" w:rsidR="00237B50" w:rsidRDefault="00237B50">
      <w:pPr>
        <w:pStyle w:val="a0"/>
      </w:pPr>
    </w:p>
    <w:p w14:paraId="0DE7819E" w14:textId="77777777" w:rsidR="00237B50" w:rsidRDefault="00DD78D3">
      <w:pPr>
        <w:pStyle w:val="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ＭＳ 明朝" w:hint="eastAsia"/>
                <w:lang w:eastAsia="ja-JP"/>
              </w:rPr>
            </w:pPr>
            <w:r>
              <w:rPr>
                <w:rFonts w:eastAsia="ＭＳ 明朝"/>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hint="eastAsia"/>
                <w:lang w:eastAsia="zh-CN"/>
              </w:rPr>
            </w:pPr>
            <w:r>
              <w:rPr>
                <w:rFonts w:eastAsia="ＭＳ 明朝" w:hint="eastAsia"/>
                <w:lang w:eastAsia="ja-JP"/>
              </w:rPr>
              <w:t>B</w:t>
            </w:r>
            <w:r>
              <w:rPr>
                <w:rFonts w:eastAsia="ＭＳ 明朝"/>
                <w:lang w:eastAsia="ja-JP"/>
              </w:rPr>
              <w:t>oth options can be scope of NW-controlled UE-based ST management.</w:t>
            </w:r>
          </w:p>
        </w:tc>
      </w:tr>
    </w:tbl>
    <w:p w14:paraId="2646DE50" w14:textId="77777777" w:rsidR="00237B50" w:rsidRDefault="00237B50">
      <w:pPr>
        <w:pStyle w:val="a0"/>
      </w:pPr>
    </w:p>
    <w:p w14:paraId="07CB6215" w14:textId="77777777" w:rsidR="00237B50" w:rsidRDefault="00237B50">
      <w:pPr>
        <w:spacing w:before="120" w:after="120"/>
        <w:jc w:val="both"/>
        <w:rPr>
          <w:b/>
          <w:lang w:val="en-GB"/>
        </w:rPr>
      </w:pPr>
    </w:p>
    <w:p w14:paraId="207E69E4" w14:textId="77777777" w:rsidR="00237B50" w:rsidRDefault="00DD78D3">
      <w:pPr>
        <w:pStyle w:val="20"/>
      </w:pPr>
      <w:r>
        <w:rPr>
          <w:rFonts w:eastAsia="Calibri"/>
        </w:rPr>
        <w:t>Burst Spread, Burst End Time</w:t>
      </w:r>
    </w:p>
    <w:p w14:paraId="2CB11464" w14:textId="77777777" w:rsidR="00237B50" w:rsidRDefault="00DD78D3">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3"/>
      </w:pPr>
      <w:r>
        <w:t>Burst Spread</w:t>
      </w:r>
    </w:p>
    <w:p w14:paraId="50290A30" w14:textId="77777777" w:rsidR="00237B50" w:rsidRDefault="00DD78D3">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F83A343">
        <w:tc>
          <w:tcPr>
            <w:tcW w:w="1105" w:type="dxa"/>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829" w:type="dxa"/>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6368" w:type="dxa"/>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F83A343">
        <w:tc>
          <w:tcPr>
            <w:tcW w:w="1105" w:type="dxa"/>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829" w:type="dxa"/>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ＭＳ 明朝" w:hint="eastAsia"/>
                <w:lang w:eastAsia="ja-JP"/>
              </w:rPr>
            </w:pPr>
            <w:r>
              <w:rPr>
                <w:rFonts w:eastAsia="ＭＳ 明朝" w:hint="eastAsia"/>
                <w:lang w:eastAsia="ja-JP"/>
              </w:rPr>
              <w:t>N</w:t>
            </w:r>
            <w:r>
              <w:rPr>
                <w:rFonts w:eastAsia="ＭＳ 明朝"/>
                <w:lang w:eastAsia="ja-JP"/>
              </w:rPr>
              <w:t>o</w:t>
            </w:r>
          </w:p>
        </w:tc>
        <w:tc>
          <w:tcPr>
            <w:tcW w:w="6368" w:type="dxa"/>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bl>
    <w:p w14:paraId="5C153F73" w14:textId="77777777" w:rsidR="00237B50" w:rsidRDefault="00237B50">
      <w:pPr>
        <w:pStyle w:val="a0"/>
      </w:pPr>
    </w:p>
    <w:p w14:paraId="362FF399" w14:textId="77777777" w:rsidR="00237B50" w:rsidRDefault="00DD78D3">
      <w:pPr>
        <w:pStyle w:val="3"/>
      </w:pPr>
      <w:r>
        <w:t>BET</w:t>
      </w:r>
    </w:p>
    <w:p w14:paraId="68A0FFBC" w14:textId="77777777" w:rsidR="00237B50" w:rsidRDefault="00DD78D3">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afe"/>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afe"/>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a0"/>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a0"/>
        <w:rPr>
          <w:rFonts w:eastAsiaTheme="minorEastAsia"/>
          <w:lang w:eastAsia="zh-CN"/>
        </w:rPr>
      </w:pPr>
    </w:p>
    <w:p w14:paraId="117E1286" w14:textId="77777777" w:rsidR="00237B50" w:rsidRDefault="00DD78D3">
      <w:pPr>
        <w:pStyle w:val="a0"/>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ＭＳ 明朝" w:hint="eastAsia"/>
                <w:lang w:eastAsia="ja-JP"/>
              </w:rPr>
            </w:pPr>
            <w:r>
              <w:rPr>
                <w:rFonts w:eastAsia="ＭＳ 明朝" w:hint="eastAsia"/>
                <w:lang w:eastAsia="ja-JP"/>
              </w:rPr>
              <w:t>F</w:t>
            </w:r>
            <w:r>
              <w:rPr>
                <w:rFonts w:eastAsia="ＭＳ 明朝"/>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ＭＳ 明朝" w:hint="eastAsia"/>
                <w:lang w:eastAsia="ja-JP"/>
              </w:rPr>
            </w:pPr>
            <w:r>
              <w:rPr>
                <w:rFonts w:eastAsia="ＭＳ 明朝" w:hint="eastAsia"/>
                <w:lang w:eastAsia="ja-JP"/>
              </w:rPr>
              <w:t>N</w:t>
            </w:r>
            <w:r>
              <w:rPr>
                <w:rFonts w:eastAsia="ＭＳ 明朝"/>
                <w:lang w:eastAsia="ja-JP"/>
              </w:rPr>
              <w:t>o</w:t>
            </w:r>
            <w:bookmarkStart w:id="17" w:name="_GoBack"/>
            <w:bookmarkEnd w:id="17"/>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bl>
    <w:p w14:paraId="30F061F5" w14:textId="77777777" w:rsidR="00237B50" w:rsidRDefault="00237B50">
      <w:pPr>
        <w:pStyle w:val="a0"/>
      </w:pPr>
    </w:p>
    <w:p w14:paraId="10EAD39E" w14:textId="77777777" w:rsidR="00237B50" w:rsidRDefault="00DD78D3">
      <w:pPr>
        <w:pStyle w:val="20"/>
      </w:pPr>
      <w:r>
        <w:rPr>
          <w:rFonts w:eastAsia="Calibri"/>
        </w:rPr>
        <w:t>Other</w:t>
      </w:r>
    </w:p>
    <w:p w14:paraId="1BC4FF2F" w14:textId="77777777" w:rsidR="00237B50" w:rsidRDefault="00DD78D3">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a0"/>
      </w:pPr>
    </w:p>
    <w:p w14:paraId="6303D611" w14:textId="77777777" w:rsidR="00237B50" w:rsidRDefault="00237B50">
      <w:pPr>
        <w:pStyle w:val="a0"/>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8" w:name="OLE_LINK3"/>
      <w:r>
        <w:rPr>
          <w:rFonts w:ascii="Arial" w:eastAsia="MS LineDraw" w:hAnsi="Arial" w:cs="Arial"/>
          <w:sz w:val="36"/>
          <w:szCs w:val="36"/>
          <w:lang w:eastAsia="zh-CN"/>
        </w:rPr>
        <w:t>4. Reference</w:t>
      </w:r>
    </w:p>
    <w:p w14:paraId="6BE4C148" w14:textId="77777777" w:rsidR="00237B50" w:rsidRDefault="00DD78D3">
      <w:pPr>
        <w:pStyle w:val="a0"/>
        <w:numPr>
          <w:ilvl w:val="0"/>
          <w:numId w:val="8"/>
        </w:numPr>
        <w:spacing w:line="240" w:lineRule="auto"/>
        <w:jc w:val="left"/>
        <w:rPr>
          <w:rFonts w:eastAsiaTheme="minorEastAsia"/>
          <w:lang w:eastAsia="zh-CN"/>
        </w:rPr>
      </w:pPr>
      <w:bookmarkStart w:id="19" w:name="_Ref68102820"/>
      <w:bookmarkEnd w:id="18"/>
      <w:r>
        <w:rPr>
          <w:rFonts w:eastAsiaTheme="minorEastAsia"/>
          <w:lang w:eastAsia="zh-CN"/>
        </w:rPr>
        <w:t>RAN</w:t>
      </w:r>
      <w:r>
        <w:rPr>
          <w:rFonts w:eastAsiaTheme="minorEastAsia" w:hint="eastAsia"/>
          <w:lang w:eastAsia="zh-CN"/>
        </w:rPr>
        <w:t>2#113-e meeting, meeting report;</w:t>
      </w:r>
      <w:bookmarkEnd w:id="19"/>
    </w:p>
    <w:p w14:paraId="41D7E197" w14:textId="77777777" w:rsidR="00237B50" w:rsidRDefault="00DD78D3">
      <w:pPr>
        <w:pStyle w:val="a0"/>
        <w:numPr>
          <w:ilvl w:val="0"/>
          <w:numId w:val="8"/>
        </w:numPr>
        <w:spacing w:line="240" w:lineRule="auto"/>
        <w:jc w:val="left"/>
        <w:rPr>
          <w:rFonts w:eastAsiaTheme="minorEastAsia"/>
          <w:lang w:eastAsia="zh-CN"/>
        </w:rPr>
      </w:pPr>
      <w:bookmarkStart w:id="20" w:name="_Ref68098156"/>
      <w:bookmarkStart w:id="21" w:name="_Ref68102909"/>
      <w:r>
        <w:rPr>
          <w:lang w:eastAsia="zh-CN"/>
        </w:rPr>
        <w:t>R2-2102074, Offline on RAN enhancements QoS [AT113-e][506]; Nokia</w:t>
      </w:r>
      <w:bookmarkEnd w:id="20"/>
    </w:p>
    <w:p w14:paraId="11F63034"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46921522"/>
      <w:bookmarkEnd w:id="21"/>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2"/>
      <w:r>
        <w:t>V17.4.0</w:t>
      </w:r>
    </w:p>
    <w:p w14:paraId="2CA40645"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3"/>
    </w:p>
    <w:p w14:paraId="2B915491" w14:textId="77777777" w:rsidR="00237B50" w:rsidRDefault="00DD78D3">
      <w:pPr>
        <w:pStyle w:val="a0"/>
        <w:numPr>
          <w:ilvl w:val="0"/>
          <w:numId w:val="8"/>
        </w:numPr>
        <w:spacing w:line="240" w:lineRule="auto"/>
        <w:jc w:val="left"/>
        <w:rPr>
          <w:rFonts w:eastAsiaTheme="minorEastAsia"/>
          <w:lang w:eastAsia="zh-CN"/>
        </w:rPr>
      </w:pPr>
      <w:bookmarkStart w:id="24" w:name="_Ref68098446"/>
      <w:bookmarkStart w:id="25"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4"/>
    </w:p>
    <w:p w14:paraId="01660DCE" w14:textId="77777777" w:rsidR="00237B50" w:rsidRDefault="00DD78D3">
      <w:pPr>
        <w:pStyle w:val="a0"/>
        <w:numPr>
          <w:ilvl w:val="0"/>
          <w:numId w:val="8"/>
        </w:numPr>
        <w:spacing w:line="240" w:lineRule="auto"/>
        <w:jc w:val="left"/>
        <w:rPr>
          <w:rFonts w:eastAsiaTheme="minorEastAsia"/>
          <w:lang w:eastAsia="zh-CN"/>
        </w:rPr>
      </w:pPr>
      <w:bookmarkStart w:id="26"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6"/>
    </w:p>
    <w:p w14:paraId="432C441E" w14:textId="77777777" w:rsidR="00237B50" w:rsidRDefault="00DD78D3">
      <w:pPr>
        <w:pStyle w:val="a0"/>
        <w:numPr>
          <w:ilvl w:val="0"/>
          <w:numId w:val="8"/>
        </w:numPr>
        <w:spacing w:line="240" w:lineRule="auto"/>
        <w:jc w:val="left"/>
        <w:rPr>
          <w:rFonts w:eastAsiaTheme="minorEastAsia"/>
          <w:lang w:eastAsia="zh-CN"/>
        </w:rPr>
      </w:pPr>
      <w:bookmarkStart w:id="27"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7"/>
    </w:p>
    <w:p w14:paraId="143E1A27" w14:textId="77777777" w:rsidR="00237B50" w:rsidRDefault="00DD78D3">
      <w:pPr>
        <w:pStyle w:val="a0"/>
        <w:numPr>
          <w:ilvl w:val="0"/>
          <w:numId w:val="8"/>
        </w:numPr>
        <w:spacing w:line="240" w:lineRule="auto"/>
        <w:jc w:val="left"/>
        <w:rPr>
          <w:rFonts w:eastAsiaTheme="minorEastAsia"/>
          <w:lang w:eastAsia="zh-CN"/>
        </w:rPr>
      </w:pPr>
      <w:bookmarkStart w:id="28"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8"/>
    </w:p>
    <w:p w14:paraId="2D7E14A6" w14:textId="77777777" w:rsidR="00237B50" w:rsidRDefault="00DD78D3">
      <w:pPr>
        <w:pStyle w:val="a0"/>
        <w:numPr>
          <w:ilvl w:val="0"/>
          <w:numId w:val="8"/>
        </w:numPr>
        <w:spacing w:line="240" w:lineRule="auto"/>
        <w:jc w:val="left"/>
        <w:rPr>
          <w:rFonts w:eastAsiaTheme="minorEastAsia"/>
          <w:lang w:eastAsia="zh-CN"/>
        </w:rPr>
      </w:pPr>
      <w:bookmarkStart w:id="29"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9"/>
    </w:p>
    <w:p w14:paraId="58EAECE9"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906599"/>
      <w:r>
        <w:rPr>
          <w:rFonts w:eastAsia="MS LineDraw"/>
          <w:lang w:eastAsia="zh-CN"/>
        </w:rPr>
        <w:t>R2-2103196, Topics on new QoS handling, Fujitsu</w:t>
      </w:r>
      <w:bookmarkEnd w:id="30"/>
    </w:p>
    <w:p w14:paraId="478F80DC"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8"/>
      <w:r>
        <w:rPr>
          <w:rFonts w:eastAsia="MS LineDraw"/>
          <w:lang w:eastAsia="zh-CN"/>
        </w:rPr>
        <w:t>R2-2103212, RAN enhancement based on new QoS, OPPO</w:t>
      </w:r>
      <w:bookmarkEnd w:id="31"/>
    </w:p>
    <w:p w14:paraId="674F461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819"/>
      <w:r>
        <w:rPr>
          <w:rFonts w:eastAsia="MS LineDraw"/>
          <w:lang w:eastAsia="zh-CN"/>
        </w:rPr>
        <w:t>R2-2103329, Further considerations on new QoS, ZTE Corporation, Sanechips, China Southern Power Grid Co., Ltd</w:t>
      </w:r>
      <w:bookmarkEnd w:id="32"/>
    </w:p>
    <w:p w14:paraId="67400BAF"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913494"/>
      <w:r>
        <w:rPr>
          <w:rFonts w:eastAsia="MS LineDraw"/>
          <w:lang w:eastAsia="zh-CN"/>
        </w:rPr>
        <w:t>R2-2103420, Discussion on RAN enhancements based on Survival Time, III</w:t>
      </w:r>
      <w:bookmarkEnd w:id="33"/>
    </w:p>
    <w:p w14:paraId="1F0D2F0A"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3"/>
      <w:r>
        <w:rPr>
          <w:rFonts w:eastAsia="MS LineDraw"/>
          <w:lang w:eastAsia="zh-CN"/>
        </w:rPr>
        <w:t>R2-2103429, RAN enhancements based on new QoS related parameters, Ericsson</w:t>
      </w:r>
      <w:bookmarkEnd w:id="34"/>
    </w:p>
    <w:p w14:paraId="57D24CC7"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0"/>
      <w:r>
        <w:rPr>
          <w:rFonts w:eastAsia="MS LineDraw"/>
          <w:lang w:eastAsia="zh-CN"/>
        </w:rPr>
        <w:t>R2-2103432, Entering and operating in the Survival Time state, Samsung Electronics GmbH</w:t>
      </w:r>
      <w:bookmarkEnd w:id="35"/>
    </w:p>
    <w:p w14:paraId="39D8465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2"/>
      <w:r>
        <w:rPr>
          <w:rFonts w:eastAsia="MS LineDraw"/>
          <w:lang w:eastAsia="zh-CN"/>
        </w:rPr>
        <w:t>R2-2103689, Discussion on the RAN support for new QoS parameters, CMCC</w:t>
      </w:r>
      <w:bookmarkEnd w:id="36"/>
    </w:p>
    <w:p w14:paraId="390F1521"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5"/>
      <w:r>
        <w:rPr>
          <w:rFonts w:eastAsia="MS LineDraw"/>
          <w:lang w:eastAsia="zh-CN"/>
        </w:rPr>
        <w:t>R2-2103735, RAN2 Enhancements for Support of QoS Parameters, Intel Corporation</w:t>
      </w:r>
      <w:bookmarkEnd w:id="37"/>
    </w:p>
    <w:p w14:paraId="12AA5C3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4906"/>
      <w:r>
        <w:rPr>
          <w:rFonts w:eastAsia="MS LineDraw"/>
          <w:lang w:eastAsia="zh-CN"/>
        </w:rPr>
        <w:t>R2-2103798, Enhancements based on new QoS requirements, InterDigital</w:t>
      </w:r>
      <w:bookmarkEnd w:id="38"/>
    </w:p>
    <w:p w14:paraId="2C9FAF6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7"/>
      <w:r>
        <w:rPr>
          <w:rFonts w:eastAsia="MS LineDraw"/>
          <w:lang w:eastAsia="zh-CN"/>
        </w:rPr>
        <w:t>R2-2103896, Discussion on entering and exiting survival time state, Futurewei Technologies</w:t>
      </w:r>
      <w:bookmarkEnd w:id="39"/>
    </w:p>
    <w:p w14:paraId="0518AF9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3708"/>
      <w:r>
        <w:rPr>
          <w:rFonts w:eastAsia="MS LineDraw"/>
          <w:lang w:eastAsia="zh-CN"/>
        </w:rPr>
        <w:t>R2-2104097, View on survival time mechanisms, LG Electronics UK</w:t>
      </w:r>
      <w:bookmarkEnd w:id="40"/>
    </w:p>
    <w:p w14:paraId="1F156EB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94933"/>
      <w:r>
        <w:rPr>
          <w:rFonts w:eastAsia="MS LineDraw"/>
          <w:lang w:eastAsia="zh-CN"/>
        </w:rPr>
        <w:t>R2-2104225, Clarification on the survival time, Xiaomi Communications</w:t>
      </w:r>
      <w:bookmarkEnd w:id="41"/>
    </w:p>
    <w:p w14:paraId="1445AFDD"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2" w:name="_Ref69888260"/>
      <w:r>
        <w:rPr>
          <w:rFonts w:eastAsia="MS LineDraw"/>
          <w:lang w:eastAsia="zh-CN"/>
        </w:rPr>
        <w:t>R2-2104265, RAN enhancements based on new QoS, TCL Communication Ltd</w:t>
      </w:r>
      <w:bookmarkEnd w:id="25"/>
      <w:bookmarkEnd w:id="42"/>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7428" w14:textId="77777777" w:rsidR="00AE19A5" w:rsidRDefault="00AE19A5">
      <w:pPr>
        <w:spacing w:after="0" w:line="240" w:lineRule="auto"/>
      </w:pPr>
      <w:r>
        <w:separator/>
      </w:r>
    </w:p>
  </w:endnote>
  <w:endnote w:type="continuationSeparator" w:id="0">
    <w:p w14:paraId="01B455BC" w14:textId="77777777" w:rsidR="00AE19A5" w:rsidRDefault="00AE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default"/>
    <w:sig w:usb0="00000000"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30AE" w14:textId="77777777" w:rsidR="004022F5" w:rsidRDefault="004022F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FA7D" w14:textId="77777777" w:rsidR="008C09EE" w:rsidRDefault="008C09EE">
    <w:pPr>
      <w:pStyle w:val="af"/>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1FBC" w14:textId="77777777" w:rsidR="004022F5" w:rsidRDefault="004022F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401F5" w14:textId="77777777" w:rsidR="00AE19A5" w:rsidRDefault="00AE19A5">
      <w:pPr>
        <w:spacing w:after="0" w:line="240" w:lineRule="auto"/>
      </w:pPr>
      <w:r>
        <w:separator/>
      </w:r>
    </w:p>
  </w:footnote>
  <w:footnote w:type="continuationSeparator" w:id="0">
    <w:p w14:paraId="25EEA43F" w14:textId="77777777" w:rsidR="00AE19A5" w:rsidRDefault="00AE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33F2" w14:textId="77777777" w:rsidR="004022F5" w:rsidRDefault="004022F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70D6" w14:textId="77777777" w:rsidR="008C09EE" w:rsidRDefault="008C09EE">
    <w:pPr>
      <w:pStyle w:val="af1"/>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6F47" w14:textId="77777777" w:rsidR="004022F5" w:rsidRDefault="004022F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6DE7"/>
    <w:rsid w:val="00022B5D"/>
    <w:rsid w:val="00030FA0"/>
    <w:rsid w:val="00046083"/>
    <w:rsid w:val="000471AC"/>
    <w:rsid w:val="00062218"/>
    <w:rsid w:val="00071DA1"/>
    <w:rsid w:val="00072486"/>
    <w:rsid w:val="00080264"/>
    <w:rsid w:val="000903B2"/>
    <w:rsid w:val="000A3DEF"/>
    <w:rsid w:val="000B34CA"/>
    <w:rsid w:val="000B79A2"/>
    <w:rsid w:val="000B7DE7"/>
    <w:rsid w:val="000C12EA"/>
    <w:rsid w:val="000C5860"/>
    <w:rsid w:val="000D0073"/>
    <w:rsid w:val="000E5530"/>
    <w:rsid w:val="000F4223"/>
    <w:rsid w:val="000F6325"/>
    <w:rsid w:val="000F7700"/>
    <w:rsid w:val="001101E6"/>
    <w:rsid w:val="00122DD7"/>
    <w:rsid w:val="00126786"/>
    <w:rsid w:val="00130423"/>
    <w:rsid w:val="00154CD6"/>
    <w:rsid w:val="00166661"/>
    <w:rsid w:val="0018031F"/>
    <w:rsid w:val="00195F35"/>
    <w:rsid w:val="001B7B57"/>
    <w:rsid w:val="001D4C6E"/>
    <w:rsid w:val="001D78BA"/>
    <w:rsid w:val="001E6A13"/>
    <w:rsid w:val="001F6BB2"/>
    <w:rsid w:val="002275D3"/>
    <w:rsid w:val="00237B50"/>
    <w:rsid w:val="00250950"/>
    <w:rsid w:val="00251A82"/>
    <w:rsid w:val="00260F8C"/>
    <w:rsid w:val="0026430B"/>
    <w:rsid w:val="002667D9"/>
    <w:rsid w:val="00287687"/>
    <w:rsid w:val="002E3517"/>
    <w:rsid w:val="003118AB"/>
    <w:rsid w:val="00323643"/>
    <w:rsid w:val="00323E11"/>
    <w:rsid w:val="00336BCC"/>
    <w:rsid w:val="00361BC4"/>
    <w:rsid w:val="00371F7A"/>
    <w:rsid w:val="00382530"/>
    <w:rsid w:val="003D19F2"/>
    <w:rsid w:val="003E07B7"/>
    <w:rsid w:val="003E248D"/>
    <w:rsid w:val="003F7049"/>
    <w:rsid w:val="00401B2D"/>
    <w:rsid w:val="004022F5"/>
    <w:rsid w:val="00422F52"/>
    <w:rsid w:val="00461333"/>
    <w:rsid w:val="00482629"/>
    <w:rsid w:val="004950CB"/>
    <w:rsid w:val="004974E3"/>
    <w:rsid w:val="004A2EDC"/>
    <w:rsid w:val="004A462F"/>
    <w:rsid w:val="004A47AA"/>
    <w:rsid w:val="004C084C"/>
    <w:rsid w:val="004C3C1C"/>
    <w:rsid w:val="004D614B"/>
    <w:rsid w:val="00515EEC"/>
    <w:rsid w:val="00533E2A"/>
    <w:rsid w:val="00543AE6"/>
    <w:rsid w:val="00552393"/>
    <w:rsid w:val="00577E98"/>
    <w:rsid w:val="00591C57"/>
    <w:rsid w:val="005A3CC0"/>
    <w:rsid w:val="005A42BF"/>
    <w:rsid w:val="005C4BCF"/>
    <w:rsid w:val="005D3D94"/>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1980"/>
    <w:rsid w:val="007375B3"/>
    <w:rsid w:val="00740AD3"/>
    <w:rsid w:val="007416EF"/>
    <w:rsid w:val="007520FD"/>
    <w:rsid w:val="007648A0"/>
    <w:rsid w:val="00766E00"/>
    <w:rsid w:val="00775E55"/>
    <w:rsid w:val="00791644"/>
    <w:rsid w:val="00793338"/>
    <w:rsid w:val="007A0F69"/>
    <w:rsid w:val="007A2157"/>
    <w:rsid w:val="007E2A51"/>
    <w:rsid w:val="007E7922"/>
    <w:rsid w:val="007F089C"/>
    <w:rsid w:val="007F362A"/>
    <w:rsid w:val="007F60E2"/>
    <w:rsid w:val="00805C10"/>
    <w:rsid w:val="00807BD4"/>
    <w:rsid w:val="00817AC9"/>
    <w:rsid w:val="00817E4B"/>
    <w:rsid w:val="00842F9A"/>
    <w:rsid w:val="0085284F"/>
    <w:rsid w:val="00884441"/>
    <w:rsid w:val="00892F57"/>
    <w:rsid w:val="008C09EE"/>
    <w:rsid w:val="008C712C"/>
    <w:rsid w:val="008F3D75"/>
    <w:rsid w:val="008F5243"/>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19A5"/>
    <w:rsid w:val="00AE40E0"/>
    <w:rsid w:val="00B0217A"/>
    <w:rsid w:val="00B1143A"/>
    <w:rsid w:val="00B15D80"/>
    <w:rsid w:val="00B359BC"/>
    <w:rsid w:val="00B5424A"/>
    <w:rsid w:val="00B642AE"/>
    <w:rsid w:val="00B7722D"/>
    <w:rsid w:val="00B83129"/>
    <w:rsid w:val="00B833BA"/>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07D9"/>
    <w:rsid w:val="00CD2DE0"/>
    <w:rsid w:val="00CD4FF9"/>
    <w:rsid w:val="00CE2B4F"/>
    <w:rsid w:val="00CE71A0"/>
    <w:rsid w:val="00CF14AD"/>
    <w:rsid w:val="00CF2AD5"/>
    <w:rsid w:val="00D7681E"/>
    <w:rsid w:val="00DA5060"/>
    <w:rsid w:val="00DC77CB"/>
    <w:rsid w:val="00DC7D36"/>
    <w:rsid w:val="00DD6178"/>
    <w:rsid w:val="00DD78D3"/>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139D9"/>
    <w:rsid w:val="00F207CE"/>
    <w:rsid w:val="00F27BEF"/>
    <w:rsid w:val="00F32151"/>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1B7B57"/>
    <w:pPr>
      <w:keepNext/>
      <w:numPr>
        <w:ilvl w:val="2"/>
        <w:numId w:val="1"/>
      </w:numPr>
      <w:tabs>
        <w:tab w:val="left" w:pos="567"/>
      </w:tabs>
      <w:spacing w:before="240" w:after="60"/>
      <w:ind w:left="1310" w:hanging="1310"/>
      <w:outlineLvl w:val="2"/>
    </w:pPr>
    <w:rPr>
      <w:rFonts w:ascii="Arial" w:eastAsia="ＭＳ 明朝"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spacing w:before="240" w:after="60"/>
      <w:outlineLvl w:val="3"/>
    </w:pPr>
    <w:rPr>
      <w:rFonts w:eastAsia="ＭＳ 明朝"/>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ＭＳ 明朝"/>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ＭＳ 明朝" w:hAnsi="Arial"/>
      <w:b/>
    </w:rPr>
  </w:style>
  <w:style w:type="paragraph" w:styleId="1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2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Web">
    <w:name w:val="Normal (Web)"/>
    <w:basedOn w:val="a"/>
    <w:uiPriority w:val="99"/>
    <w:unhideWhenUsed/>
    <w:qFormat/>
    <w:rsid w:val="001B7B57"/>
    <w:pPr>
      <w:spacing w:before="100" w:beforeAutospacing="1" w:after="100" w:afterAutospacing="1"/>
    </w:pPr>
    <w:rPr>
      <w:sz w:val="24"/>
      <w:lang w:eastAsia="zh-CN"/>
    </w:rPr>
  </w:style>
  <w:style w:type="paragraph" w:styleId="af6">
    <w:name w:val="annotation subject"/>
    <w:basedOn w:val="a8"/>
    <w:next w:val="a8"/>
    <w:link w:val="af7"/>
    <w:qFormat/>
    <w:rsid w:val="001B7B57"/>
    <w:rPr>
      <w:b/>
      <w:bCs/>
    </w:rPr>
  </w:style>
  <w:style w:type="table" w:styleId="af8">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9">
    <w:name w:val="endnote reference"/>
    <w:basedOn w:val="a1"/>
    <w:qFormat/>
    <w:rsid w:val="001B7B57"/>
    <w:rPr>
      <w:vertAlign w:val="superscript"/>
    </w:rPr>
  </w:style>
  <w:style w:type="character" w:styleId="afa">
    <w:name w:val="page number"/>
    <w:basedOn w:val="a1"/>
    <w:qFormat/>
    <w:rsid w:val="001B7B57"/>
  </w:style>
  <w:style w:type="character" w:styleId="afb">
    <w:name w:val="Hyperlink"/>
    <w:basedOn w:val="a1"/>
    <w:uiPriority w:val="99"/>
    <w:unhideWhenUsed/>
    <w:qFormat/>
    <w:rsid w:val="001B7B57"/>
    <w:rPr>
      <w:color w:val="0000FF"/>
      <w:u w:val="single"/>
    </w:rPr>
  </w:style>
  <w:style w:type="character" w:styleId="afc">
    <w:name w:val="annotation reference"/>
    <w:uiPriority w:val="99"/>
    <w:qFormat/>
    <w:rsid w:val="001B7B57"/>
    <w:rPr>
      <w:sz w:val="21"/>
      <w:szCs w:val="21"/>
    </w:rPr>
  </w:style>
  <w:style w:type="character" w:styleId="afd">
    <w:name w:val="footnote reference"/>
    <w:basedOn w:val="a1"/>
    <w:qFormat/>
    <w:rsid w:val="001B7B57"/>
    <w:rPr>
      <w:vertAlign w:val="superscript"/>
    </w:rPr>
  </w:style>
  <w:style w:type="character" w:customStyle="1" w:styleId="a6">
    <w:name w:val="図表番号 (文字)"/>
    <w:aliases w:val="cap (文字),cap Char (文字),Caption Char1 Char (文字),cap Char Char1 (文字),Caption Char Char1 Char (文字),cap Char2 (文字),条目 (文字),Ca (文字),cap1 (文字),cap2 (文字),cap11 (文字),Légende-figure (文字),Légende-figure Char (文字),Beschrifubg (文字),Beschriftung Char (文字)"/>
    <w:link w:val="a5"/>
    <w:rsid w:val="001B7B57"/>
    <w:rPr>
      <w:lang w:val="en-GB" w:eastAsia="en-US" w:bidi="ar-SA"/>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a"/>
    <w:link w:val="aff"/>
    <w:uiPriority w:val="34"/>
    <w:qFormat/>
    <w:rsid w:val="001B7B57"/>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ＭＳ 明朝" w:hAnsi="Arial" w:cs="Arial"/>
      <w:i/>
      <w:sz w:val="18"/>
      <w:szCs w:val="24"/>
    </w:rPr>
  </w:style>
  <w:style w:type="paragraph" w:customStyle="1" w:styleId="Comments">
    <w:name w:val="Comments"/>
    <w:basedOn w:val="a"/>
    <w:link w:val="CommentsChar"/>
    <w:qFormat/>
    <w:rsid w:val="001B7B57"/>
    <w:pPr>
      <w:spacing w:before="40"/>
    </w:pPr>
    <w:rPr>
      <w:rFonts w:ascii="Arial" w:eastAsia="ＭＳ 明朝" w:hAnsi="Arial"/>
      <w:i/>
      <w:sz w:val="18"/>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qFormat/>
    <w:rsid w:val="001B7B57"/>
    <w:rPr>
      <w:rFonts w:eastAsia="ＭＳ 明朝"/>
      <w:szCs w:val="24"/>
      <w:lang w:eastAsia="en-US"/>
    </w:rPr>
  </w:style>
  <w:style w:type="character" w:customStyle="1" w:styleId="aff">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e"/>
    <w:uiPriority w:val="34"/>
    <w:qFormat/>
    <w:rsid w:val="001B7B57"/>
    <w:rPr>
      <w:rFonts w:eastAsia="ＭＳ 明朝"/>
      <w:lang w:val="en-GB" w:eastAsia="en-US"/>
    </w:rPr>
  </w:style>
  <w:style w:type="character" w:customStyle="1" w:styleId="BodyTextChar1">
    <w:name w:val="Body Text Char1"/>
    <w:basedOn w:val="a1"/>
    <w:uiPriority w:val="99"/>
    <w:qFormat/>
    <w:locked/>
    <w:rsid w:val="001B7B57"/>
    <w:rPr>
      <w:rFonts w:eastAsia="ＭＳ 明朝"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sid w:val="001B7B57"/>
    <w:rPr>
      <w:rFonts w:ascii="Arial" w:eastAsia="ＭＳ 明朝" w:hAnsi="Arial"/>
      <w:szCs w:val="24"/>
      <w:lang w:val="en-GB" w:eastAsia="en-GB"/>
    </w:rPr>
  </w:style>
  <w:style w:type="character" w:customStyle="1" w:styleId="af4">
    <w:name w:val="脚注文字列 (文字)"/>
    <w:basedOn w:val="a1"/>
    <w:link w:val="af3"/>
    <w:qFormat/>
    <w:rsid w:val="001B7B57"/>
    <w:rPr>
      <w:rFonts w:eastAsia="Times New Roman"/>
      <w:lang w:eastAsia="en-US"/>
    </w:rPr>
  </w:style>
  <w:style w:type="character" w:customStyle="1" w:styleId="ac">
    <w:name w:val="文末脚注文字列 (文字)"/>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2">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ＭＳ 明朝" w:hAnsi="Arial"/>
      <w:b/>
      <w:szCs w:val="20"/>
      <w:lang w:val="en-GB"/>
    </w:rPr>
  </w:style>
  <w:style w:type="character" w:customStyle="1" w:styleId="TFChar">
    <w:name w:val="TF Char"/>
    <w:basedOn w:val="a1"/>
    <w:link w:val="TF"/>
    <w:qFormat/>
    <w:rsid w:val="001B7B57"/>
    <w:rPr>
      <w:rFonts w:ascii="Arial" w:eastAsia="ＭＳ 明朝" w:hAnsi="Arial"/>
      <w:b/>
      <w:lang w:val="en-GB" w:eastAsia="en-US"/>
    </w:rPr>
  </w:style>
  <w:style w:type="character" w:customStyle="1" w:styleId="af2">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1"/>
    <w:link w:val="af1"/>
    <w:qFormat/>
    <w:rsid w:val="001B7B57"/>
    <w:rPr>
      <w:rFonts w:ascii="Arial" w:eastAsia="ＭＳ 明朝"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コメント文字列 (文字)"/>
    <w:link w:val="a8"/>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見出し 5 (文字)"/>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
    <w:rsid w:val="001B7B57"/>
    <w:rPr>
      <w:rFonts w:ascii="Arial" w:hAnsi="Arial" w:cs="Arial"/>
      <w:b/>
      <w:bCs/>
      <w:kern w:val="32"/>
      <w:sz w:val="28"/>
      <w:szCs w:val="32"/>
    </w:rPr>
  </w:style>
  <w:style w:type="character" w:customStyle="1" w:styleId="21">
    <w:name w:val="見出し 2 (文字)"/>
    <w:aliases w:val="Head2A (文字),2 (文字),H2 (文字),UNDERRUBRIK 1-2 (文字),DO NOT USE_h2 (文字),h2 (文字),h21 (文字),Heading 2 Char (文字),H2 Char (文字),h2 Char (文字),Heading 2 3GPP (文字)"/>
    <w:basedOn w:val="a1"/>
    <w:link w:val="20"/>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ＭＳ 明朝" w:hAnsi="Arial"/>
      <w:szCs w:val="24"/>
      <w:lang w:val="en-GB" w:eastAsia="en-GB"/>
    </w:rPr>
  </w:style>
  <w:style w:type="paragraph" w:styleId="82">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ＭＳ 明朝" w:hAnsi="Arial" w:cstheme="minorBidi"/>
      <w:b/>
      <w:sz w:val="22"/>
      <w:lang w:val="en-GB" w:eastAsia="en-GB"/>
    </w:rPr>
  </w:style>
  <w:style w:type="character" w:styleId="aff0">
    <w:name w:val="Strong"/>
    <w:basedOn w:val="a1"/>
    <w:uiPriority w:val="22"/>
    <w:qFormat/>
    <w:rsid w:val="001B7B57"/>
    <w:rPr>
      <w:b/>
      <w:bCs/>
    </w:rPr>
  </w:style>
  <w:style w:type="paragraph" w:styleId="aff1">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1"/>
      </w:numPr>
      <w:spacing w:before="40" w:after="0" w:line="240" w:lineRule="auto"/>
    </w:pPr>
    <w:rPr>
      <w:rFonts w:ascii="Arial" w:eastAsia="ＭＳ 明朝" w:hAnsi="Arial"/>
      <w:b/>
      <w:lang w:val="en-GB" w:eastAsia="en-GB"/>
    </w:rPr>
  </w:style>
  <w:style w:type="character" w:customStyle="1" w:styleId="EmailDiscussionChar">
    <w:name w:val="EmailDiscussion Char"/>
    <w:link w:val="EmailDiscussion"/>
    <w:rsid w:val="001B7B57"/>
    <w:rPr>
      <w:rFonts w:ascii="Arial" w:eastAsia="ＭＳ 明朝"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見出し 6 (文字)"/>
    <w:basedOn w:val="a1"/>
    <w:link w:val="6"/>
    <w:rsid w:val="001B7B57"/>
    <w:rPr>
      <w:rFonts w:ascii="Arial" w:eastAsia="Times New Roman" w:hAnsi="Arial"/>
      <w:lang w:val="en-GB" w:eastAsia="en-GB"/>
    </w:rPr>
  </w:style>
  <w:style w:type="character" w:customStyle="1" w:styleId="70">
    <w:name w:val="見出し 7 (文字)"/>
    <w:basedOn w:val="a1"/>
    <w:link w:val="7"/>
    <w:rsid w:val="001B7B57"/>
    <w:rPr>
      <w:rFonts w:ascii="Arial" w:eastAsia="Times New Roman" w:hAnsi="Arial"/>
      <w:lang w:val="en-GB" w:eastAsia="en-GB"/>
    </w:rPr>
  </w:style>
  <w:style w:type="character" w:customStyle="1" w:styleId="80">
    <w:name w:val="見出し 8 (文字)"/>
    <w:basedOn w:val="a1"/>
    <w:link w:val="8"/>
    <w:rsid w:val="001B7B57"/>
    <w:rPr>
      <w:rFonts w:ascii="Arial" w:eastAsia="Times New Roman" w:hAnsi="Arial"/>
      <w:sz w:val="36"/>
      <w:lang w:val="en-GB" w:eastAsia="en-GB"/>
    </w:rPr>
  </w:style>
  <w:style w:type="character" w:customStyle="1" w:styleId="90">
    <w:name w:val="見出し 9 (文字)"/>
    <w:basedOn w:val="a1"/>
    <w:link w:val="9"/>
    <w:rsid w:val="001B7B57"/>
    <w:rPr>
      <w:rFonts w:ascii="Arial" w:eastAsia="Times New Roman" w:hAnsi="Arial"/>
      <w:sz w:val="36"/>
      <w:lang w:val="en-GB" w:eastAsia="en-GB"/>
    </w:rPr>
  </w:style>
  <w:style w:type="paragraph" w:styleId="91">
    <w:name w:val="toc 9"/>
    <w:basedOn w:val="82"/>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2">
    <w:name w:val="toc 5"/>
    <w:basedOn w:val="42"/>
    <w:rsid w:val="001B7B57"/>
    <w:pPr>
      <w:ind w:left="1701" w:hanging="1701"/>
    </w:pPr>
  </w:style>
  <w:style w:type="paragraph" w:styleId="42">
    <w:name w:val="toc 4"/>
    <w:basedOn w:val="33"/>
    <w:rsid w:val="001B7B57"/>
    <w:pPr>
      <w:ind w:left="1418" w:hanging="1418"/>
    </w:pPr>
  </w:style>
  <w:style w:type="paragraph" w:styleId="33">
    <w:name w:val="toc 3"/>
    <w:basedOn w:val="2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1">
    <w:name w:val="toc 6"/>
    <w:basedOn w:val="52"/>
    <w:next w:val="a"/>
    <w:rsid w:val="001B7B57"/>
    <w:pPr>
      <w:ind w:left="1985" w:hanging="1985"/>
    </w:pPr>
  </w:style>
  <w:style w:type="paragraph" w:styleId="71">
    <w:name w:val="toc 7"/>
    <w:basedOn w:val="61"/>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吹き出し (文字)"/>
    <w:link w:val="ad"/>
    <w:rsid w:val="001B7B57"/>
    <w:rPr>
      <w:rFonts w:eastAsia="Times New Roman"/>
      <w:sz w:val="18"/>
      <w:szCs w:val="18"/>
      <w:lang w:eastAsia="en-US"/>
    </w:rPr>
  </w:style>
  <w:style w:type="character" w:customStyle="1" w:styleId="af7">
    <w:name w:val="コメント内容 (文字)"/>
    <w:link w:val="af6"/>
    <w:rsid w:val="001B7B57"/>
    <w:rPr>
      <w:rFonts w:eastAsia="Times New Roman"/>
      <w:b/>
      <w:bCs/>
      <w:szCs w:val="24"/>
      <w:lang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1B7B57"/>
    <w:rPr>
      <w:rFonts w:ascii="Arial" w:eastAsia="ＭＳ 明朝" w:hAnsi="Arial" w:cs="Arial"/>
      <w:b/>
      <w:bCs/>
      <w:szCs w:val="26"/>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sid w:val="001B7B57"/>
    <w:rPr>
      <w:rFonts w:eastAsia="ＭＳ 明朝"/>
      <w:b/>
      <w:bCs/>
      <w:sz w:val="28"/>
      <w:szCs w:val="28"/>
      <w:lang w:eastAsia="en-US"/>
    </w:rPr>
  </w:style>
  <w:style w:type="paragraph" w:styleId="23">
    <w:name w:val="index 2"/>
    <w:basedOn w:val="13"/>
    <w:rsid w:val="001B7B57"/>
    <w:pPr>
      <w:ind w:left="284"/>
    </w:pPr>
  </w:style>
  <w:style w:type="paragraph" w:styleId="13">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4">
    <w:name w:val="List Number 2"/>
    <w:basedOn w:val="aff2"/>
    <w:rsid w:val="001B7B57"/>
    <w:pPr>
      <w:ind w:left="851"/>
    </w:pPr>
  </w:style>
  <w:style w:type="paragraph" w:styleId="25">
    <w:name w:val="List Bullet 2"/>
    <w:basedOn w:val="aff3"/>
    <w:rsid w:val="001B7B57"/>
    <w:pPr>
      <w:ind w:left="851"/>
    </w:pPr>
  </w:style>
  <w:style w:type="paragraph" w:styleId="34">
    <w:name w:val="List Bullet 3"/>
    <w:basedOn w:val="25"/>
    <w:rsid w:val="001B7B57"/>
    <w:pPr>
      <w:ind w:left="1135"/>
    </w:pPr>
  </w:style>
  <w:style w:type="paragraph" w:styleId="aff2">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3">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3">
    <w:name w:val="List Bullet 4"/>
    <w:basedOn w:val="34"/>
    <w:rsid w:val="001B7B57"/>
    <w:pPr>
      <w:ind w:left="1418"/>
    </w:pPr>
  </w:style>
  <w:style w:type="paragraph" w:styleId="53">
    <w:name w:val="List Bullet 5"/>
    <w:basedOn w:val="43"/>
    <w:rsid w:val="001B7B57"/>
    <w:pPr>
      <w:ind w:left="1702"/>
    </w:pPr>
  </w:style>
  <w:style w:type="character" w:customStyle="1" w:styleId="af0">
    <w:name w:val="フッター (文字)"/>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17560</Words>
  <Characters>100092</Characters>
  <Application>Microsoft Office Word</Application>
  <DocSecurity>0</DocSecurity>
  <Lines>834</Lines>
  <Paragraphs>234</Paragraphs>
  <ScaleCrop>false</ScaleCrop>
  <Company/>
  <LinksUpToDate>false</LinksUpToDate>
  <CharactersWithSpaces>117418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Ohta, Yoshiaki/太田 好明</cp:lastModifiedBy>
  <cp:revision>39</cp:revision>
  <dcterms:created xsi:type="dcterms:W3CDTF">2021-05-07T18:05:00Z</dcterms:created>
  <dcterms:modified xsi:type="dcterms:W3CDTF">2021-05-10T04:31:00Z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