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34C5D72A"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r w:rsidR="0050371D" w:rsidRPr="0050371D">
        <w:rPr>
          <w:rFonts w:cs="Arial"/>
          <w:bCs/>
          <w:color w:val="0D0D0D" w:themeColor="text1" w:themeTint="F2"/>
          <w:sz w:val="28"/>
          <w:szCs w:val="24"/>
          <w:highlight w:val="yellow"/>
          <w:lang w:eastAsia="zh-TW"/>
        </w:rPr>
        <w:t>xxxx</w:t>
      </w:r>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2"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r>
              <w:rPr>
                <w:rFonts w:eastAsia="SimSun" w:cs="Arial"/>
                <w:lang w:eastAsia="zh-CN"/>
              </w:rPr>
              <w:t>rfaurie-LS at sfr dot fr</w:t>
            </w:r>
          </w:p>
        </w:tc>
      </w:tr>
      <w:tr w:rsidR="00FA3621"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0630C27F" w:rsidR="00FA3621" w:rsidRDefault="00FA3621" w:rsidP="00FA3621">
            <w:pPr>
              <w:rPr>
                <w:rFonts w:eastAsia="SimSun" w:cs="Arial"/>
                <w:lang w:eastAsia="zh-CN"/>
              </w:rPr>
            </w:pPr>
            <w:ins w:id="3" w:author="Jerome Vogedes (Consultant)" w:date="2021-04-23T10:55:00Z">
              <w:r>
                <w:rPr>
                  <w:rFonts w:eastAsia="SimSun" w:cs="Arial"/>
                  <w:lang w:eastAsia="zh-CN"/>
                </w:rPr>
                <w:t>Convida</w:t>
              </w:r>
            </w:ins>
          </w:p>
        </w:tc>
        <w:tc>
          <w:tcPr>
            <w:tcW w:w="3062" w:type="dxa"/>
            <w:tcBorders>
              <w:top w:val="single" w:sz="4" w:space="0" w:color="auto"/>
              <w:left w:val="single" w:sz="4" w:space="0" w:color="auto"/>
              <w:bottom w:val="single" w:sz="4" w:space="0" w:color="auto"/>
              <w:right w:val="single" w:sz="4" w:space="0" w:color="auto"/>
            </w:tcBorders>
          </w:tcPr>
          <w:p w14:paraId="6DEC570F" w14:textId="17A24401" w:rsidR="00FA3621" w:rsidRDefault="00FA3621" w:rsidP="00FA3621">
            <w:pPr>
              <w:rPr>
                <w:rFonts w:eastAsia="SimSun" w:cs="Arial"/>
                <w:lang w:eastAsia="zh-CN"/>
              </w:rPr>
            </w:pPr>
            <w:ins w:id="4" w:author="Jerome Vogedes (Consultant)" w:date="2021-04-23T10:55:00Z">
              <w:r>
                <w:rPr>
                  <w:rFonts w:eastAsia="SimSun" w:cs="Arial"/>
                  <w:lang w:eastAsia="zh-CN"/>
                </w:rPr>
                <w:t>Jerome Vogedes</w:t>
              </w:r>
            </w:ins>
          </w:p>
        </w:tc>
        <w:tc>
          <w:tcPr>
            <w:tcW w:w="3366" w:type="dxa"/>
            <w:tcBorders>
              <w:top w:val="single" w:sz="4" w:space="0" w:color="auto"/>
              <w:left w:val="single" w:sz="4" w:space="0" w:color="auto"/>
              <w:bottom w:val="single" w:sz="4" w:space="0" w:color="auto"/>
              <w:right w:val="single" w:sz="4" w:space="0" w:color="auto"/>
            </w:tcBorders>
          </w:tcPr>
          <w:p w14:paraId="1ED4D63C" w14:textId="47178C60" w:rsidR="00FA3621" w:rsidRDefault="00FA3621" w:rsidP="00FA3621">
            <w:pPr>
              <w:rPr>
                <w:rFonts w:eastAsia="SimSun" w:cs="Arial"/>
                <w:lang w:eastAsia="zh-CN"/>
              </w:rPr>
            </w:pPr>
            <w:ins w:id="5" w:author="Jerome Vogedes (Consultant)" w:date="2021-04-23T10:55:00Z">
              <w:r>
                <w:rPr>
                  <w:rFonts w:eastAsia="SimSun" w:cs="Arial"/>
                  <w:lang w:eastAsia="zh-CN"/>
                </w:rPr>
                <w:t>Vogedes.jerome@convidawireless.com</w:t>
              </w:r>
            </w:ins>
          </w:p>
        </w:tc>
      </w:tr>
      <w:tr w:rsidR="00FA3621" w:rsidRPr="00DF6AB7"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06A2C485" w:rsidR="00FA3621" w:rsidRDefault="00DF6AB7" w:rsidP="00FA3621">
            <w:pPr>
              <w:rPr>
                <w:rFonts w:eastAsia="SimSun" w:cs="Arial"/>
                <w:lang w:eastAsia="zh-CN"/>
              </w:rPr>
            </w:pPr>
            <w:ins w:id="6" w:author="Emre A. Yavuz" w:date="2021-04-26T11:40:00Z">
              <w:r>
                <w:rPr>
                  <w:rFonts w:eastAsia="SimSun"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04367CE7" w14:textId="39547298" w:rsidR="00FA3621" w:rsidRDefault="00DF6AB7" w:rsidP="00FA3621">
            <w:pPr>
              <w:rPr>
                <w:rFonts w:eastAsia="SimSun" w:cs="Arial"/>
                <w:lang w:eastAsia="zh-CN"/>
              </w:rPr>
            </w:pPr>
            <w:ins w:id="7" w:author="Emre A. Yavuz" w:date="2021-04-26T11:40:00Z">
              <w:r>
                <w:rPr>
                  <w:rFonts w:eastAsia="SimSun" w:cs="Arial"/>
                  <w:lang w:eastAsia="zh-CN"/>
                </w:rPr>
                <w:t>Emre A. Yavuz</w:t>
              </w:r>
            </w:ins>
          </w:p>
        </w:tc>
        <w:tc>
          <w:tcPr>
            <w:tcW w:w="3366" w:type="dxa"/>
            <w:tcBorders>
              <w:top w:val="single" w:sz="4" w:space="0" w:color="auto"/>
              <w:left w:val="single" w:sz="4" w:space="0" w:color="auto"/>
              <w:bottom w:val="single" w:sz="4" w:space="0" w:color="auto"/>
              <w:right w:val="single" w:sz="4" w:space="0" w:color="auto"/>
            </w:tcBorders>
          </w:tcPr>
          <w:p w14:paraId="39625F45" w14:textId="3CED1F96" w:rsidR="00FA3621" w:rsidRPr="00DF6AB7" w:rsidRDefault="00DF6AB7" w:rsidP="00FA3621">
            <w:pPr>
              <w:rPr>
                <w:rFonts w:eastAsia="SimSun" w:cs="Arial"/>
                <w:lang w:eastAsia="zh-CN"/>
              </w:rPr>
            </w:pPr>
            <w:ins w:id="8" w:author="Emre A. Yavuz" w:date="2021-04-26T11:40:00Z">
              <w:r>
                <w:rPr>
                  <w:rFonts w:eastAsia="SimSun" w:cs="Arial"/>
                  <w:lang w:eastAsia="zh-CN"/>
                </w:rPr>
                <w:t>e</w:t>
              </w:r>
              <w:r w:rsidRPr="00DF6AB7">
                <w:rPr>
                  <w:rFonts w:eastAsia="SimSun" w:cs="Arial"/>
                  <w:lang w:eastAsia="zh-CN"/>
                </w:rPr>
                <w:t>mre dot yavuz at eri</w:t>
              </w:r>
              <w:r w:rsidRPr="00DF6AB7">
                <w:rPr>
                  <w:rFonts w:eastAsia="SimSun" w:cs="Arial"/>
                  <w:lang w:val="sv-SE" w:eastAsia="zh-CN"/>
                </w:rPr>
                <w:t>c</w:t>
              </w:r>
              <w:r>
                <w:rPr>
                  <w:rFonts w:eastAsia="SimSun" w:cs="Arial"/>
                  <w:lang w:eastAsia="zh-CN"/>
                </w:rPr>
                <w:t>sson dot com</w:t>
              </w:r>
            </w:ins>
          </w:p>
        </w:tc>
      </w:tr>
      <w:tr w:rsidR="00FA3621" w:rsidRPr="00DF6AB7"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69BB1682" w:rsidR="00FA3621" w:rsidRPr="00DF6AB7" w:rsidRDefault="00C52D9C" w:rsidP="00FA3621">
            <w:pPr>
              <w:rPr>
                <w:rFonts w:eastAsia="SimSun" w:cs="Arial"/>
                <w:lang w:eastAsia="zh-CN"/>
              </w:rPr>
            </w:pPr>
            <w:ins w:id="9" w:author="CATT" w:date="2021-04-26T19:40:00Z">
              <w:r>
                <w:rPr>
                  <w:rFonts w:eastAsia="SimSun" w:cs="Arial" w:hint="eastAsia"/>
                  <w:lang w:eastAsia="zh-CN"/>
                </w:rPr>
                <w:t>CATT</w:t>
              </w:r>
            </w:ins>
          </w:p>
        </w:tc>
        <w:tc>
          <w:tcPr>
            <w:tcW w:w="3062" w:type="dxa"/>
            <w:tcBorders>
              <w:top w:val="single" w:sz="4" w:space="0" w:color="auto"/>
              <w:left w:val="single" w:sz="4" w:space="0" w:color="auto"/>
              <w:bottom w:val="single" w:sz="4" w:space="0" w:color="auto"/>
              <w:right w:val="single" w:sz="4" w:space="0" w:color="auto"/>
            </w:tcBorders>
          </w:tcPr>
          <w:p w14:paraId="56C2CBA4" w14:textId="495B6340" w:rsidR="00FA3621" w:rsidRPr="00DF6AB7" w:rsidRDefault="00C52D9C" w:rsidP="00FA3621">
            <w:pPr>
              <w:rPr>
                <w:rFonts w:eastAsia="SimSun" w:cs="Arial"/>
                <w:lang w:eastAsia="zh-CN"/>
              </w:rPr>
            </w:pPr>
            <w:ins w:id="10" w:author="CATT" w:date="2021-04-26T19:41:00Z">
              <w:r>
                <w:rPr>
                  <w:rFonts w:eastAsia="SimSun" w:cs="Arial" w:hint="eastAsia"/>
                  <w:lang w:eastAsia="zh-CN"/>
                </w:rPr>
                <w:t>Sidong LI</w:t>
              </w:r>
            </w:ins>
          </w:p>
        </w:tc>
        <w:tc>
          <w:tcPr>
            <w:tcW w:w="3366" w:type="dxa"/>
            <w:tcBorders>
              <w:top w:val="single" w:sz="4" w:space="0" w:color="auto"/>
              <w:left w:val="single" w:sz="4" w:space="0" w:color="auto"/>
              <w:bottom w:val="single" w:sz="4" w:space="0" w:color="auto"/>
              <w:right w:val="single" w:sz="4" w:space="0" w:color="auto"/>
            </w:tcBorders>
          </w:tcPr>
          <w:p w14:paraId="0A0B3975" w14:textId="51FB68EA" w:rsidR="00FA3621" w:rsidRPr="00DF6AB7" w:rsidRDefault="00C52D9C" w:rsidP="00FA3621">
            <w:pPr>
              <w:rPr>
                <w:rFonts w:eastAsia="SimSun" w:cs="Arial"/>
                <w:lang w:eastAsia="zh-CN"/>
              </w:rPr>
            </w:pPr>
            <w:ins w:id="11" w:author="CATT" w:date="2021-04-26T19:41:00Z">
              <w:r>
                <w:rPr>
                  <w:rFonts w:eastAsia="SimSun" w:cs="Arial" w:hint="eastAsia"/>
                  <w:lang w:eastAsia="zh-CN"/>
                </w:rPr>
                <w:t>lisidong@catt.cn</w:t>
              </w:r>
            </w:ins>
          </w:p>
        </w:tc>
      </w:tr>
      <w:tr w:rsidR="00FA3621" w:rsidRPr="00DF6AB7"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FA3621" w:rsidRPr="00DF6AB7" w:rsidRDefault="00FA3621" w:rsidP="00FA3621">
            <w:pPr>
              <w:rPr>
                <w:rFonts w:eastAsia="SimSun" w:cs="Arial"/>
                <w:lang w:eastAsia="zh-CN"/>
              </w:rPr>
            </w:pPr>
          </w:p>
        </w:tc>
      </w:tr>
      <w:tr w:rsidR="00FA3621" w:rsidRPr="00DF6AB7"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FA3621" w:rsidRPr="00DF6AB7" w:rsidRDefault="00FA3621" w:rsidP="00FA3621">
            <w:pPr>
              <w:rPr>
                <w:rFonts w:eastAsia="SimSun" w:cs="Arial"/>
                <w:lang w:eastAsia="zh-CN"/>
              </w:rPr>
            </w:pPr>
          </w:p>
        </w:tc>
      </w:tr>
      <w:tr w:rsidR="00FA3621" w:rsidRPr="00DF6AB7"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FA3621" w:rsidRPr="00DF6AB7" w:rsidRDefault="00FA3621" w:rsidP="00FA3621">
            <w:pPr>
              <w:rPr>
                <w:rFonts w:eastAsia="SimSun" w:cs="Arial"/>
                <w:lang w:eastAsia="zh-CN"/>
              </w:rPr>
            </w:pPr>
          </w:p>
        </w:tc>
      </w:tr>
      <w:tr w:rsidR="00FA3621" w:rsidRPr="00DF6AB7"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FA3621" w:rsidRPr="00DF6AB7" w:rsidRDefault="00FA3621" w:rsidP="00FA3621">
            <w:pPr>
              <w:rPr>
                <w:rFonts w:eastAsia="SimSun" w:cs="Arial"/>
                <w:lang w:eastAsia="zh-CN"/>
              </w:rPr>
            </w:pPr>
          </w:p>
        </w:tc>
      </w:tr>
      <w:tr w:rsidR="00FA3621" w:rsidRPr="00DF6AB7"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FA3621" w:rsidRPr="00DF6AB7" w:rsidRDefault="00FA3621" w:rsidP="00FA3621">
            <w:pPr>
              <w:rPr>
                <w:rFonts w:eastAsia="SimSun" w:cs="Arial"/>
                <w:lang w:eastAsia="zh-CN"/>
              </w:rPr>
            </w:pPr>
          </w:p>
        </w:tc>
      </w:tr>
      <w:tr w:rsidR="00FA3621" w:rsidRPr="00DF6AB7"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A3621" w:rsidRPr="00DF6AB7" w:rsidRDefault="00FA3621" w:rsidP="00FA3621">
            <w:pPr>
              <w:rPr>
                <w:rFonts w:eastAsia="SimSun" w:cs="Arial"/>
                <w:lang w:eastAsia="zh-CN"/>
              </w:rPr>
            </w:pPr>
          </w:p>
        </w:tc>
      </w:tr>
      <w:tr w:rsidR="00FA3621" w:rsidRPr="00DF6AB7"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A3621" w:rsidRPr="00DF6AB7" w:rsidRDefault="00FA3621" w:rsidP="00FA3621">
            <w:pPr>
              <w:rPr>
                <w:rFonts w:eastAsia="SimSun" w:cs="Arial"/>
                <w:lang w:eastAsia="zh-CN"/>
              </w:rPr>
            </w:pPr>
          </w:p>
        </w:tc>
      </w:tr>
      <w:tr w:rsidR="00FA3621" w:rsidRPr="00DF6AB7"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A3621" w:rsidRPr="00DF6AB7" w:rsidRDefault="00FA3621" w:rsidP="00FA3621">
            <w:pPr>
              <w:rPr>
                <w:rFonts w:eastAsia="SimSun" w:cs="Arial"/>
                <w:lang w:eastAsia="zh-CN"/>
              </w:rPr>
            </w:pPr>
          </w:p>
        </w:tc>
      </w:tr>
      <w:tr w:rsidR="00FA3621" w:rsidRPr="00DF6AB7"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A3621" w:rsidRPr="00DF6AB7" w:rsidRDefault="00FA3621" w:rsidP="00FA3621">
            <w:pPr>
              <w:rPr>
                <w:rFonts w:eastAsia="SimSun" w:cs="Arial"/>
                <w:lang w:eastAsia="zh-CN"/>
              </w:rPr>
            </w:pPr>
          </w:p>
        </w:tc>
      </w:tr>
      <w:tr w:rsidR="00FA3621" w:rsidRPr="00DF6AB7"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A3621" w:rsidRPr="00DF6AB7" w:rsidRDefault="00FA3621" w:rsidP="00FA3621">
            <w:pPr>
              <w:rPr>
                <w:rFonts w:eastAsia="SimSun" w:cs="Arial"/>
                <w:lang w:eastAsia="zh-CN"/>
              </w:rPr>
            </w:pPr>
          </w:p>
        </w:tc>
      </w:tr>
      <w:tr w:rsidR="00FA3621" w:rsidRPr="00DF6AB7"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A3621" w:rsidRPr="00DF6AB7" w:rsidRDefault="00FA3621" w:rsidP="00FA3621">
            <w:pPr>
              <w:rPr>
                <w:rFonts w:eastAsia="SimSun" w:cs="Arial"/>
                <w:lang w:eastAsia="zh-CN"/>
              </w:rPr>
            </w:pPr>
          </w:p>
        </w:tc>
      </w:tr>
    </w:tbl>
    <w:p w14:paraId="28EDF411" w14:textId="77777777" w:rsidR="00CD6D23" w:rsidRPr="00DF6AB7"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DF6AB7" w:rsidRDefault="00CD6D23" w:rsidP="005934C4">
      <w:pPr>
        <w:pStyle w:val="BodyText"/>
        <w:rPr>
          <w:rFonts w:ascii="Arial" w:hAnsi="Arial" w:cs="Arial"/>
          <w:color w:val="0D0D0D" w:themeColor="text1" w:themeTint="F2"/>
          <w:lang w:eastAsia="ko-KR"/>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commentRangeStart w:id="12"/>
      <w:commentRangeStart w:id="13"/>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commentRangeEnd w:id="12"/>
      <w:r w:rsidR="009F7F53">
        <w:rPr>
          <w:rStyle w:val="CommentReference"/>
        </w:rPr>
        <w:commentReference w:id="12"/>
      </w:r>
      <w:commentRangeEnd w:id="13"/>
      <w:r w:rsidR="0075634D">
        <w:rPr>
          <w:rStyle w:val="CommentReference"/>
        </w:rPr>
        <w:commentReference w:id="13"/>
      </w:r>
    </w:p>
    <w:p w14:paraId="3A584CE5" w14:textId="77777777" w:rsidR="006E2EF5" w:rsidRPr="004162CD" w:rsidRDefault="006E2EF5" w:rsidP="00325DAD">
      <w:pPr>
        <w:pStyle w:val="Heading1"/>
      </w:pPr>
      <w:bookmarkStart w:id="14" w:name="_Toc26620904"/>
      <w:bookmarkStart w:id="15" w:name="_Toc30079716"/>
      <w:bookmarkStart w:id="16" w:name="_Toc56717501"/>
      <w:r w:rsidRPr="004162CD">
        <w:t>2</w:t>
      </w:r>
      <w:r w:rsidRPr="004162CD">
        <w:tab/>
        <w:t>References</w:t>
      </w:r>
      <w:bookmarkEnd w:id="14"/>
      <w:bookmarkEnd w:id="15"/>
      <w:bookmarkEnd w:id="16"/>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17" w:name="_Toc26620905"/>
      <w:bookmarkStart w:id="18" w:name="_Toc30079717"/>
      <w:bookmarkStart w:id="19" w:name="_Toc64555787"/>
      <w:r w:rsidRPr="00450CE8">
        <w:t>3</w:t>
      </w:r>
      <w:r w:rsidRPr="00450CE8">
        <w:tab/>
        <w:t>Definitions</w:t>
      </w:r>
      <w:bookmarkEnd w:id="17"/>
      <w:r w:rsidRPr="00DA363D">
        <w:t xml:space="preserve"> </w:t>
      </w:r>
      <w:r>
        <w:t>of terms, symbols and abbreviations</w:t>
      </w:r>
      <w:bookmarkEnd w:id="18"/>
      <w:bookmarkEnd w:id="19"/>
    </w:p>
    <w:p w14:paraId="366EE643" w14:textId="77777777" w:rsidR="00FC58DF" w:rsidRPr="00450CE8" w:rsidRDefault="00FC58DF" w:rsidP="00325DAD">
      <w:pPr>
        <w:pStyle w:val="Heading2"/>
      </w:pPr>
      <w:bookmarkStart w:id="20" w:name="_Toc26620906"/>
      <w:bookmarkStart w:id="21" w:name="_Toc30079718"/>
      <w:bookmarkStart w:id="22" w:name="_Toc64555788"/>
      <w:r w:rsidRPr="00450CE8">
        <w:t>3.1</w:t>
      </w:r>
      <w:r w:rsidRPr="00450CE8">
        <w:tab/>
      </w:r>
      <w:r>
        <w:t>Terms</w:t>
      </w:r>
      <w:bookmarkEnd w:id="20"/>
      <w:bookmarkEnd w:id="21"/>
      <w:bookmarkEnd w:id="22"/>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325DAD">
      <w:pPr>
        <w:pStyle w:val="Heading2"/>
      </w:pPr>
      <w:bookmarkStart w:id="23" w:name="_Toc26620907"/>
      <w:bookmarkStart w:id="24" w:name="_Toc30079719"/>
      <w:bookmarkStart w:id="25" w:name="_Toc64555789"/>
      <w:r w:rsidRPr="00450CE8">
        <w:t>3.2</w:t>
      </w:r>
      <w:r w:rsidRPr="00450CE8">
        <w:tab/>
        <w:t>Symbols</w:t>
      </w:r>
      <w:bookmarkEnd w:id="23"/>
      <w:bookmarkEnd w:id="24"/>
      <w:bookmarkEnd w:id="25"/>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26" w:name="_Toc26620908"/>
      <w:bookmarkStart w:id="27" w:name="_Toc30079720"/>
      <w:bookmarkStart w:id="28" w:name="_Toc64555790"/>
      <w:r w:rsidRPr="00450CE8">
        <w:t>3.3</w:t>
      </w:r>
      <w:r w:rsidRPr="00450CE8">
        <w:tab/>
        <w:t>Abbreviations</w:t>
      </w:r>
      <w:bookmarkEnd w:id="26"/>
      <w:bookmarkEnd w:id="27"/>
      <w:bookmarkEnd w:id="28"/>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29" w:author="Eutelsat-Rapporteur (v02)" w:date="2021-04-23T01:16:00Z"/>
        </w:rPr>
      </w:pPr>
      <w:ins w:id="30"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Earth-Centered, Earth-Fixed</w:t>
      </w:r>
    </w:p>
    <w:p w14:paraId="553E507A" w14:textId="77777777" w:rsidR="0075634D" w:rsidRPr="00583FA0" w:rsidRDefault="0075634D" w:rsidP="0075634D">
      <w:pPr>
        <w:pStyle w:val="EW"/>
        <w:rPr>
          <w:ins w:id="31" w:author="Eutelsat-Rapporteur (v02)" w:date="2021-04-23T01:21:00Z"/>
        </w:rPr>
      </w:pPr>
      <w:ins w:id="32" w:author="Eutelsat-Rapporteur (v02)" w:date="2021-04-23T01:21:00Z">
        <w:r w:rsidRPr="00583FA0">
          <w:t>eDRX</w:t>
        </w:r>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DF6AB7" w:rsidRDefault="00FC58DF" w:rsidP="00FC58DF">
      <w:pPr>
        <w:pStyle w:val="EW"/>
      </w:pPr>
      <w:r w:rsidRPr="00DF6AB7">
        <w:t>eNB</w:t>
      </w:r>
      <w:r w:rsidRPr="00DF6AB7">
        <w:tab/>
      </w:r>
      <w:r w:rsidR="008104A9" w:rsidRPr="00DF6AB7">
        <w:t xml:space="preserve">E-UTRAN </w:t>
      </w:r>
      <w:r w:rsidRPr="00DF6AB7">
        <w:t>Node B</w:t>
      </w:r>
    </w:p>
    <w:p w14:paraId="03CD73D3" w14:textId="77777777" w:rsidR="00FC58DF" w:rsidRPr="00DF6AB7" w:rsidRDefault="00FC58DF" w:rsidP="0089018D">
      <w:pPr>
        <w:pStyle w:val="EW"/>
      </w:pPr>
      <w:r w:rsidRPr="00DF6AB7">
        <w:t>GW</w:t>
      </w:r>
      <w:r w:rsidRPr="00DF6AB7">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33" w:author="Eutelsat-Rapporteur (v02)" w:date="2021-04-23T01:16:00Z"/>
        </w:rPr>
      </w:pPr>
      <w:ins w:id="34"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35" w:author="Eutelsat-Rapporteur (v02)" w:date="2021-04-23T01:15:00Z"/>
        </w:rPr>
      </w:pPr>
      <w:ins w:id="36"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37" w:author="Eutelsat-Rapporteur (v02)" w:date="2021-04-23T01:14:00Z"/>
        </w:rPr>
      </w:pPr>
      <w:commentRangeStart w:id="38"/>
      <w:ins w:id="39" w:author="Eutelsat-Rapporteur (v02)" w:date="2021-04-23T01:14:00Z">
        <w:r w:rsidRPr="002843AF">
          <w:t>WUS</w:t>
        </w:r>
        <w:r w:rsidRPr="002843AF">
          <w:tab/>
          <w:t>Wake Up Signal</w:t>
        </w:r>
      </w:ins>
      <w:commentRangeEnd w:id="38"/>
      <w:r w:rsidR="00D40622">
        <w:rPr>
          <w:rStyle w:val="CommentReference"/>
        </w:rPr>
        <w:commentReference w:id="38"/>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40" w:name="_Toc64555804"/>
      <w:bookmarkStart w:id="41" w:name="_Toc26621099"/>
      <w:bookmarkStart w:id="42"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43" w:name="_Toc66197034"/>
      <w:bookmarkStart w:id="44" w:name="_Toc66198717"/>
      <w:bookmarkEnd w:id="40"/>
      <w:r w:rsidRPr="00A33D41">
        <w:t>7.3</w:t>
      </w:r>
      <w:r w:rsidRPr="00A33D41">
        <w:tab/>
        <w:t>Control plane enhancements</w:t>
      </w:r>
      <w:bookmarkEnd w:id="43"/>
      <w:bookmarkEnd w:id="44"/>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45" w:name="_Toc66197035"/>
      <w:bookmarkStart w:id="46" w:name="_Toc66198718"/>
      <w:r w:rsidRPr="00A33D41">
        <w:t>7.3.1</w:t>
      </w:r>
      <w:r w:rsidRPr="00A33D41">
        <w:tab/>
        <w:t>Idle mode mobility enhancements</w:t>
      </w:r>
      <w:bookmarkEnd w:id="45"/>
      <w:bookmarkEnd w:id="46"/>
    </w:p>
    <w:p w14:paraId="4D2DED54" w14:textId="77777777" w:rsidR="00C759CC" w:rsidRPr="00A33D41" w:rsidRDefault="00C759CC" w:rsidP="00325DAD">
      <w:pPr>
        <w:pStyle w:val="Heading4"/>
      </w:pPr>
      <w:bookmarkStart w:id="47" w:name="_Toc26620993"/>
      <w:bookmarkStart w:id="48" w:name="_Toc30079805"/>
      <w:bookmarkStart w:id="49" w:name="_Toc66198719"/>
      <w:r w:rsidRPr="00A33D41">
        <w:t>7.3.1.1</w:t>
      </w:r>
      <w:r w:rsidRPr="00A33D41">
        <w:tab/>
        <w:t xml:space="preserve">Tracking </w:t>
      </w:r>
      <w:r>
        <w:t>a</w:t>
      </w:r>
      <w:r w:rsidRPr="00A33D41">
        <w:t>rea</w:t>
      </w:r>
      <w:bookmarkEnd w:id="47"/>
      <w:bookmarkEnd w:id="48"/>
      <w:bookmarkEnd w:id="49"/>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Figure 7.3.1.1-1: Moving Cells and Small tracking areas leading to massive TAU signalling</w:t>
      </w:r>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Figure 7.3.1.1-2: Moving Cells and wide tracking areas leading to higher Paging load</w:t>
      </w:r>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cells/TAs.</w:t>
      </w:r>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(i.e.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174.5pt" o:ole="">
            <v:imagedata r:id="rId19" o:title=""/>
            <o:lock v:ext="edit" aspectratio="f"/>
          </v:shape>
          <o:OLEObject Type="Embed" ProgID="Visio.Drawing.11" ShapeID="_x0000_i1025" DrawAspect="Content" ObjectID="_1680931309" r:id="rId20"/>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3pt;height:166.5pt" o:ole="">
            <v:imagedata r:id="rId21" o:title=""/>
            <o:lock v:ext="edit" aspectratio="f"/>
          </v:shape>
          <o:OLEObject Type="Embed" ProgID="VisioViewer.Viewer.1" ShapeID="_x0000_i1026" DrawAspect="Content" ObjectID="_1680931310" r:id="rId22"/>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580B550C" w14:textId="57FF563F" w:rsidR="00C759CC" w:rsidRPr="004162CD" w:rsidDel="009F7F53" w:rsidRDefault="00C759CC" w:rsidP="00C759CC">
      <w:pPr>
        <w:pStyle w:val="EditorsNote"/>
        <w:jc w:val="both"/>
        <w:rPr>
          <w:del w:id="50" w:author="Eutelsat-Rapporteur (v01)" w:date="2021-04-22T11:47:00Z"/>
        </w:rPr>
      </w:pPr>
      <w:del w:id="51" w:author="Eutelsat-Rapporteur (v01)" w:date="2021-04-22T11:47:00Z">
        <w:r w:rsidRPr="004162CD" w:rsidDel="009F7F53">
          <w:delText>Editor</w:delText>
        </w:r>
        <w:r w:rsidDel="009F7F53">
          <w:delText>'</w:delText>
        </w:r>
        <w:r w:rsidRPr="004162CD" w:rsidDel="009F7F53">
          <w:delText xml:space="preserve">s Note: </w:delText>
        </w:r>
        <w:r w:rsidRPr="004A6254" w:rsidDel="009F7F53">
          <w:delText>RAN2 will wait for progress in NR NTN for possible updates, if applicable to IoT NTN</w:delText>
        </w:r>
        <w:r w:rsidDel="009F7F53">
          <w:delText>.</w:delText>
        </w:r>
      </w:del>
    </w:p>
    <w:p w14:paraId="12440CA1" w14:textId="0EBCEDD7" w:rsidR="009F7F53" w:rsidRPr="00CA2600" w:rsidRDefault="009F7F53" w:rsidP="009F7F53">
      <w:pPr>
        <w:ind w:left="568"/>
        <w:rPr>
          <w:ins w:id="52" w:author="Eutelsat-Rapporteur (v01)" w:date="2021-04-22T11:49:00Z"/>
        </w:rPr>
      </w:pPr>
      <w:bookmarkStart w:id="53" w:name="_Toc66198720"/>
      <w:commentRangeStart w:id="54"/>
      <w:ins w:id="55" w:author="Eutelsat-Rapporteur (v01)" w:date="2021-04-22T11:50:00Z">
        <w:del w:id="56" w:author="Jerome Vogedes (Consultant)" w:date="2021-04-23T11:04:00Z">
          <w:r w:rsidDel="0065067E">
            <w:delText xml:space="preserve">The </w:delText>
          </w:r>
        </w:del>
      </w:ins>
      <w:ins w:id="57" w:author="Eutelsat-Rapporteur (v02)" w:date="2021-04-23T01:03:00Z">
        <w:del w:id="58" w:author="Jerome Vogedes (Consultant)" w:date="2021-04-23T11:04:00Z">
          <w:r w:rsidR="00084B85" w:rsidDel="0065067E">
            <w:delText xml:space="preserve">solutions agreed for </w:delText>
          </w:r>
        </w:del>
      </w:ins>
      <w:ins w:id="59" w:author="Eutelsat-Rapporteur (v01)" w:date="2021-04-22T11:50:00Z">
        <w:del w:id="60" w:author="Jerome Vogedes (Consultant)" w:date="2021-04-23T11:04:00Z">
          <w:r w:rsidDel="0065067E">
            <w:delText>NR NTN</w:delText>
          </w:r>
        </w:del>
      </w:ins>
      <w:ins w:id="61" w:author="Eutelsat-Rapporteur (v02)" w:date="2021-04-23T01:03:00Z">
        <w:del w:id="62" w:author="Jerome Vogedes (Consultant)" w:date="2021-04-23T11:04:00Z">
          <w:r w:rsidR="00084B85" w:rsidDel="0065067E">
            <w:delText xml:space="preserve"> </w:delText>
          </w:r>
        </w:del>
      </w:ins>
      <w:ins w:id="63" w:author="Eutelsat-Rapporteur (v01)" w:date="2021-04-22T11:50:00Z">
        <w:del w:id="64" w:author="Jerome Vogedes (Consultant)" w:date="2021-04-23T11:04:00Z">
          <w:r w:rsidDel="0065067E">
            <w:delText xml:space="preserve"> agreements, where </w:delText>
          </w:r>
        </w:del>
      </w:ins>
      <w:ins w:id="65" w:author="Eutelsat-Rapporteur (v02)" w:date="2021-04-22T18:21:00Z">
        <w:del w:id="66" w:author="Jerome Vogedes (Consultant)" w:date="2021-04-23T11:04:00Z">
          <w:r w:rsidR="00710C2A" w:rsidDel="0065067E">
            <w:delText xml:space="preserve">by which </w:delText>
          </w:r>
        </w:del>
      </w:ins>
      <w:ins w:id="67" w:author="Eutelsat-Rapporteur (v01)" w:date="2021-04-22T11:50:00Z">
        <w:del w:id="68" w:author="Jerome Vogedes (Consultant)" w:date="2021-04-23T11:04:00Z">
          <w:r w:rsidRPr="00916F12" w:rsidDel="0065067E">
            <w:delText>the network may broadcast more than one TACs per PLMN in a cell</w:delText>
          </w:r>
          <w:r w:rsidDel="0065067E">
            <w:delText xml:space="preserve"> are considered for IoT NTN</w:delText>
          </w:r>
        </w:del>
      </w:ins>
      <w:ins w:id="69" w:author="Eutelsat-Rapporteur (v01)" w:date="2021-04-22T11:49:00Z">
        <w:del w:id="70" w:author="Jerome Vogedes (Consultant)" w:date="2021-04-23T11:04:00Z">
          <w:r w:rsidRPr="00CA2600" w:rsidDel="0065067E">
            <w:delText xml:space="preserve">. </w:delText>
          </w:r>
        </w:del>
      </w:ins>
    </w:p>
    <w:p w14:paraId="25AA8969" w14:textId="77777777" w:rsidR="00F876E5" w:rsidRDefault="00A37CBA" w:rsidP="00A37CBA">
      <w:pPr>
        <w:pStyle w:val="EditorsNote"/>
        <w:jc w:val="both"/>
        <w:rPr>
          <w:ins w:id="71" w:author="Emre A. Yavuz" w:date="2021-04-26T12:13:00Z"/>
        </w:rPr>
      </w:pPr>
      <w:commentRangeStart w:id="72"/>
      <w:ins w:id="73" w:author="Eutelsat-Rapporteur (v01)" w:date="2021-04-22T01:31:00Z">
        <w:del w:id="74" w:author="Emre A. Yavuz" w:date="2021-04-26T12:12:00Z">
          <w:r w:rsidRPr="004162CD" w:rsidDel="00F876E5">
            <w:delText>Editor</w:delText>
          </w:r>
          <w:r w:rsidDel="00F876E5">
            <w:delText>'</w:delText>
          </w:r>
          <w:r w:rsidRPr="004162CD" w:rsidDel="00F876E5">
            <w:delText xml:space="preserve">s Note: </w:delText>
          </w:r>
        </w:del>
      </w:ins>
      <w:ins w:id="75" w:author="Jerome Vogedes (Consultant)" w:date="2021-04-23T11:13:00Z">
        <w:del w:id="76" w:author="Emre A. Yavuz" w:date="2021-04-26T12:12:00Z">
          <w:r w:rsidR="0081517D" w:rsidDel="00F876E5">
            <w:delText>Per</w:delText>
          </w:r>
        </w:del>
      </w:ins>
      <w:ins w:id="77" w:author="Jerome Vogedes (Consultant)" w:date="2021-04-23T11:12:00Z">
        <w:del w:id="78" w:author="Emre A. Yavuz" w:date="2021-04-26T12:12:00Z">
          <w:r w:rsidR="0081517D" w:rsidDel="00F876E5">
            <w:delText xml:space="preserve"> NR NTN</w:delText>
          </w:r>
        </w:del>
      </w:ins>
      <w:ins w:id="79" w:author="Jerome Vogedes (Consultant)" w:date="2021-04-23T11:13:00Z">
        <w:del w:id="80" w:author="Emre A. Yavuz" w:date="2021-04-26T12:12:00Z">
          <w:r w:rsidR="0081517D" w:rsidDel="00F876E5">
            <w:delText xml:space="preserve"> agreements</w:delText>
          </w:r>
        </w:del>
      </w:ins>
      <w:ins w:id="81" w:author="Jerome Vogedes (Consultant)" w:date="2021-04-23T11:12:00Z">
        <w:del w:id="82" w:author="Emre A. Yavuz" w:date="2021-04-26T12:12:00Z">
          <w:r w:rsidR="0081517D" w:rsidDel="00F876E5">
            <w:delText>, n</w:delText>
          </w:r>
        </w:del>
      </w:ins>
      <w:ins w:id="83" w:author="Jerome Vogedes (Consultant)" w:date="2021-04-23T11:09:00Z">
        <w:del w:id="84" w:author="Emre A. Yavuz" w:date="2021-04-26T12:12:00Z">
          <w:r w:rsidR="0081517D" w:rsidRPr="00916F12" w:rsidDel="00F876E5">
            <w:delText xml:space="preserve">etwork </w:delText>
          </w:r>
        </w:del>
      </w:ins>
      <w:ins w:id="85" w:author="Jerome Vogedes (Consultant)" w:date="2021-04-23T11:10:00Z">
        <w:del w:id="86" w:author="Emre A. Yavuz" w:date="2021-04-26T12:12:00Z">
          <w:r w:rsidR="0081517D" w:rsidDel="00F876E5">
            <w:delText>broadcast of</w:delText>
          </w:r>
        </w:del>
      </w:ins>
      <w:ins w:id="87" w:author="Jerome Vogedes (Consultant)" w:date="2021-04-23T11:09:00Z">
        <w:del w:id="88" w:author="Emre A. Yavuz" w:date="2021-04-26T12:12:00Z">
          <w:r w:rsidR="0081517D" w:rsidRPr="00916F12" w:rsidDel="00F876E5">
            <w:delText xml:space="preserve"> more than one TAC per PLMN in a cell</w:delText>
          </w:r>
        </w:del>
      </w:ins>
      <w:ins w:id="89" w:author="Jerome Vogedes (Consultant)" w:date="2021-04-23T11:07:00Z">
        <w:del w:id="90" w:author="Emre A. Yavuz" w:date="2021-04-26T12:12:00Z">
          <w:r w:rsidR="0081517D" w:rsidDel="00F876E5">
            <w:delText>,</w:delText>
          </w:r>
        </w:del>
      </w:ins>
      <w:ins w:id="91" w:author="Jerome Vogedes (Consultant)" w:date="2021-04-23T11:04:00Z">
        <w:del w:id="92" w:author="Emre A. Yavuz" w:date="2021-04-26T12:12:00Z">
          <w:r w:rsidR="0065067E" w:rsidDel="00F876E5">
            <w:delText xml:space="preserve"> </w:delText>
          </w:r>
        </w:del>
      </w:ins>
      <w:ins w:id="93" w:author="Jerome Vogedes (Consultant)" w:date="2021-04-23T11:10:00Z">
        <w:del w:id="94" w:author="Emre A. Yavuz" w:date="2021-04-26T12:12:00Z">
          <w:r w:rsidR="0081517D" w:rsidDel="00F876E5">
            <w:delText>may be</w:delText>
          </w:r>
        </w:del>
      </w:ins>
      <w:ins w:id="95" w:author="Jerome Vogedes (Consultant)" w:date="2021-04-23T11:04:00Z">
        <w:del w:id="96" w:author="Emre A. Yavuz" w:date="2021-04-26T12:12:00Z">
          <w:r w:rsidR="0065067E" w:rsidDel="00F876E5">
            <w:delText xml:space="preserve"> considered </w:delText>
          </w:r>
        </w:del>
      </w:ins>
      <w:ins w:id="97" w:author="Jerome Vogedes (Consultant)" w:date="2021-04-23T11:06:00Z">
        <w:del w:id="98" w:author="Emre A. Yavuz" w:date="2021-04-26T12:12:00Z">
          <w:r w:rsidR="0065067E" w:rsidDel="00F876E5">
            <w:delText xml:space="preserve">as a baseline solution </w:delText>
          </w:r>
        </w:del>
      </w:ins>
      <w:ins w:id="99" w:author="Jerome Vogedes (Consultant)" w:date="2021-04-23T11:04:00Z">
        <w:del w:id="100" w:author="Emre A. Yavuz" w:date="2021-04-26T12:12:00Z">
          <w:r w:rsidR="0065067E" w:rsidDel="00F876E5">
            <w:delText>for IoT NTN</w:delText>
          </w:r>
          <w:r w:rsidR="0065067E" w:rsidRPr="00CA2600" w:rsidDel="00F876E5">
            <w:delText>.</w:delText>
          </w:r>
          <w:r w:rsidR="0065067E" w:rsidDel="00F876E5">
            <w:delText xml:space="preserve"> </w:delText>
          </w:r>
        </w:del>
      </w:ins>
      <w:ins w:id="101" w:author="Eutelsat-Rapporteur (v01)" w:date="2021-04-22T01:31:00Z">
        <w:del w:id="102" w:author="Emre A. Yavuz" w:date="2021-04-26T12:12:00Z">
          <w:r w:rsidDel="00F876E5">
            <w:delText xml:space="preserve">other options </w:delText>
          </w:r>
        </w:del>
      </w:ins>
      <w:ins w:id="103" w:author="Eutelsat-Rapporteur (v01)" w:date="2021-04-22T01:43:00Z">
        <w:del w:id="104" w:author="Emre A. Yavuz" w:date="2021-04-26T12:12:00Z">
          <w:r w:rsidR="00262EE0" w:rsidDel="00F876E5">
            <w:delText xml:space="preserve">are </w:delText>
          </w:r>
        </w:del>
      </w:ins>
      <w:ins w:id="105" w:author="Eutelsat-Rapporteur (v01)" w:date="2021-04-22T01:31:00Z">
        <w:del w:id="106" w:author="Emre A. Yavuz" w:date="2021-04-26T12:12:00Z">
          <w:r w:rsidDel="00F876E5">
            <w:delText>not excluded for now</w:delText>
          </w:r>
        </w:del>
      </w:ins>
      <w:ins w:id="107" w:author="Jerome Vogedes (Consultant)" w:date="2021-04-23T11:05:00Z">
        <w:del w:id="108" w:author="Emre A. Yavuz" w:date="2021-04-26T12:12:00Z">
          <w:r w:rsidR="0065067E" w:rsidDel="00F876E5">
            <w:delText xml:space="preserve">Additional “soft switch” </w:delText>
          </w:r>
        </w:del>
      </w:ins>
      <w:ins w:id="109" w:author="Jerome Vogedes (Consultant)" w:date="2021-04-23T11:06:00Z">
        <w:del w:id="110" w:author="Emre A. Yavuz" w:date="2021-04-26T12:12:00Z">
          <w:r w:rsidR="0065067E" w:rsidDel="00F876E5">
            <w:delText>solutions</w:delText>
          </w:r>
        </w:del>
      </w:ins>
      <w:ins w:id="111" w:author="Jerome Vogedes (Consultant)" w:date="2021-04-23T11:05:00Z">
        <w:del w:id="112" w:author="Emre A. Yavuz" w:date="2021-04-26T12:12:00Z">
          <w:r w:rsidR="0065067E" w:rsidDel="00F876E5">
            <w:delText xml:space="preserve"> are not precluded</w:delText>
          </w:r>
        </w:del>
      </w:ins>
      <w:ins w:id="113" w:author="Eutelsat-Rapporteur (v01)" w:date="2021-04-22T01:31:00Z">
        <w:del w:id="114" w:author="Emre A. Yavuz" w:date="2021-04-26T12:12:00Z">
          <w:r w:rsidRPr="00CA2600" w:rsidDel="00F876E5">
            <w:delText>.</w:delText>
          </w:r>
        </w:del>
      </w:ins>
      <w:commentRangeEnd w:id="54"/>
      <w:del w:id="115" w:author="Emre A. Yavuz" w:date="2021-04-26T12:12:00Z">
        <w:r w:rsidR="0065067E" w:rsidDel="00F876E5">
          <w:rPr>
            <w:rStyle w:val="CommentReference"/>
            <w:color w:val="auto"/>
          </w:rPr>
          <w:commentReference w:id="54"/>
        </w:r>
      </w:del>
      <w:commentRangeEnd w:id="72"/>
    </w:p>
    <w:p w14:paraId="7B419FF4" w14:textId="34BECB89" w:rsidR="00A37CBA" w:rsidRPr="004162CD" w:rsidRDefault="005B78B7" w:rsidP="00F876E5">
      <w:pPr>
        <w:pStyle w:val="EditorsNote"/>
        <w:jc w:val="both"/>
        <w:rPr>
          <w:ins w:id="116" w:author="Eutelsat-Rapporteur (v01)" w:date="2021-04-22T01:31:00Z"/>
        </w:rPr>
      </w:pPr>
      <w:r>
        <w:rPr>
          <w:rStyle w:val="CommentReference"/>
          <w:color w:val="auto"/>
        </w:rPr>
        <w:commentReference w:id="72"/>
      </w:r>
      <w:commentRangeStart w:id="117"/>
      <w:ins w:id="118" w:author="Emre A. Yavuz" w:date="2021-04-26T12:13:00Z">
        <w:r w:rsidR="00F876E5" w:rsidRPr="00F876E5">
          <w:t xml:space="preserve"> </w:t>
        </w:r>
        <w:r w:rsidR="00F876E5">
          <w:t xml:space="preserve">Editor’s Note: </w:t>
        </w:r>
      </w:ins>
      <w:ins w:id="119" w:author="Emre A. Yavuz" w:date="2021-04-26T12:15:00Z">
        <w:r w:rsidR="00F876E5" w:rsidRPr="00F876E5">
          <w:t>The NR-NTN agreements, where the network may broadcast more than one TAC</w:t>
        </w:r>
        <w:del w:id="120" w:author="CATT" w:date="2021-04-26T19:45:00Z">
          <w:r w:rsidR="00F876E5" w:rsidRPr="00F876E5" w:rsidDel="00C52D9C">
            <w:delText>s</w:delText>
          </w:r>
        </w:del>
        <w:r w:rsidR="00F876E5" w:rsidRPr="00F876E5">
          <w:t xml:space="preserve"> per PLMN in a cell</w:t>
        </w:r>
        <w:r w:rsidR="00F876E5">
          <w:t>,</w:t>
        </w:r>
        <w:r w:rsidR="00F876E5" w:rsidRPr="00F876E5">
          <w:t xml:space="preserve"> is considered for IoT NTN</w:t>
        </w:r>
      </w:ins>
      <w:ins w:id="121" w:author="Emre A. Yavuz" w:date="2021-04-26T12:16:00Z">
        <w:r w:rsidR="00F876E5">
          <w:t xml:space="preserve">, if applicable. Other </w:t>
        </w:r>
      </w:ins>
      <w:ins w:id="122" w:author="Emre A. Yavuz" w:date="2021-04-26T12:15:00Z">
        <w:r w:rsidR="00F876E5" w:rsidRPr="00F876E5">
          <w:t xml:space="preserve">options </w:t>
        </w:r>
      </w:ins>
      <w:ins w:id="123" w:author="Emre A. Yavuz" w:date="2021-04-26T12:16:00Z">
        <w:r w:rsidR="00F876E5">
          <w:t xml:space="preserve">are </w:t>
        </w:r>
      </w:ins>
      <w:ins w:id="124" w:author="Emre A. Yavuz" w:date="2021-04-26T12:15:00Z">
        <w:r w:rsidR="00F876E5" w:rsidRPr="00F876E5">
          <w:t>not excluded</w:t>
        </w:r>
      </w:ins>
      <w:ins w:id="125" w:author="Emre A. Yavuz" w:date="2021-04-26T12:16:00Z">
        <w:r w:rsidR="00F876E5">
          <w:t>.</w:t>
        </w:r>
      </w:ins>
      <w:commentRangeEnd w:id="117"/>
      <w:r w:rsidR="00C52D9C">
        <w:rPr>
          <w:rStyle w:val="CommentReference"/>
          <w:color w:val="auto"/>
        </w:rPr>
        <w:commentReference w:id="117"/>
      </w:r>
    </w:p>
    <w:p w14:paraId="45CA90DD" w14:textId="77777777" w:rsidR="00C759CC" w:rsidRPr="00A33D41" w:rsidRDefault="00C759CC" w:rsidP="00325DAD">
      <w:pPr>
        <w:pStyle w:val="Heading4"/>
      </w:pPr>
      <w:r w:rsidRPr="00A33D41">
        <w:t>7.3.1.2</w:t>
      </w:r>
      <w:r w:rsidRPr="00A33D41">
        <w:tab/>
        <w:t>Using ephemeris information and UE location information</w:t>
      </w:r>
      <w:bookmarkEnd w:id="53"/>
    </w:p>
    <w:p w14:paraId="07245085" w14:textId="77777777" w:rsidR="00C759CC" w:rsidRPr="00A33D41" w:rsidRDefault="00C759CC" w:rsidP="00C759CC">
      <w:pPr>
        <w:rPr>
          <w:rFonts w:eastAsia="Malgun Gothic"/>
        </w:rPr>
      </w:pPr>
      <w:r>
        <w:rPr>
          <w:rFonts w:eastAsia="Malgun Gothic"/>
        </w:rPr>
        <w:t xml:space="preserve">Satellite assistance (e.g.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1F3DCBC9" w:rsidR="009F7F53" w:rsidRPr="00A33D41" w:rsidRDefault="009F7F53" w:rsidP="009F7F53">
      <w:pPr>
        <w:rPr>
          <w:ins w:id="126" w:author="Eutelsat-Rapporteur (v01)" w:date="2021-04-22T11:47:00Z"/>
          <w:rFonts w:eastAsia="Malgun Gothic"/>
        </w:rPr>
      </w:pPr>
      <w:commentRangeStart w:id="127"/>
      <w:commentRangeStart w:id="128"/>
      <w:ins w:id="129" w:author="Eutelsat-Rapporteur (v01)" w:date="2021-04-22T11:47:00Z">
        <w:r>
          <w:t xml:space="preserve">Satellite </w:t>
        </w:r>
      </w:ins>
      <w:ins w:id="130" w:author="Emre A. Yavuz" w:date="2021-04-26T12:21:00Z">
        <w:r w:rsidR="00676F74">
          <w:t>assistance information</w:t>
        </w:r>
      </w:ins>
      <w:ins w:id="131" w:author="Emre A. Yavuz" w:date="2021-04-26T12:22:00Z">
        <w:r w:rsidR="00676F74">
          <w:t xml:space="preserve"> </w:t>
        </w:r>
      </w:ins>
      <w:ins w:id="132" w:author="Eutelsat-Rapporteur (v01)" w:date="2021-04-22T11:47:00Z">
        <w:del w:id="133" w:author="Jerome Vogedes (Consultant)" w:date="2021-04-23T11:18:00Z">
          <w:r w:rsidDel="00193397">
            <w:delText xml:space="preserve">assistance information (e.g. </w:delText>
          </w:r>
        </w:del>
      </w:ins>
      <w:ins w:id="134" w:author="Emre A. Yavuz" w:date="2021-04-26T12:22:00Z">
        <w:r w:rsidR="00676F74">
          <w:t xml:space="preserve">(e.g., </w:t>
        </w:r>
      </w:ins>
      <w:ins w:id="135" w:author="Eutelsat-Rapporteur (v01)" w:date="2021-04-22T11:47:00Z">
        <w:r>
          <w:t>ephemeris information</w:t>
        </w:r>
        <w:del w:id="136" w:author="Jerome Vogedes (Consultant)" w:date="2021-04-23T11:18:00Z">
          <w:r w:rsidDel="00193397">
            <w:delText>),</w:delText>
          </w:r>
        </w:del>
        <w:r>
          <w:t xml:space="preserve"> </w:t>
        </w:r>
      </w:ins>
      <w:commentRangeEnd w:id="127"/>
      <w:r w:rsidR="0081517D">
        <w:rPr>
          <w:rStyle w:val="CommentReference"/>
        </w:rPr>
        <w:commentReference w:id="127"/>
      </w:r>
      <w:commentRangeEnd w:id="128"/>
      <w:r w:rsidR="00000DB0">
        <w:rPr>
          <w:rStyle w:val="CommentReference"/>
        </w:rPr>
        <w:commentReference w:id="128"/>
      </w:r>
      <w:ins w:id="137" w:author="Eutelsat-Rapporteur (v01)" w:date="2021-04-22T11:47:00Z">
        <w:r>
          <w:t>can be used for the handling of coverage holes or discontinuous satellite coverage in a power efficient</w:t>
        </w:r>
      </w:ins>
      <w:ins w:id="138" w:author="Emre A. Yavuz" w:date="2021-04-26T12:23:00Z">
        <w:r w:rsidR="00676F74">
          <w:t xml:space="preserve"> way</w:t>
        </w:r>
      </w:ins>
      <w:ins w:id="139" w:author="Eutelsat-Rapporteur (v01)" w:date="2021-04-22T11:47:00Z">
        <w:del w:id="140" w:author="Emre A. Yavuz" w:date="2021-04-26T12:23:00Z">
          <w:r w:rsidDel="00676F74">
            <w:delText xml:space="preserve"> manner</w:delText>
          </w:r>
        </w:del>
        <w:r>
          <w:t>.</w:t>
        </w:r>
      </w:ins>
    </w:p>
    <w:p w14:paraId="1731B6D1" w14:textId="3ADDE118" w:rsidR="00C759CC" w:rsidRDefault="00C759CC" w:rsidP="00C759CC">
      <w:pPr>
        <w:pStyle w:val="EditorsNote"/>
        <w:rPr>
          <w:ins w:id="141" w:author="Emre A. Yavuz" w:date="2021-04-26T12:34:00Z"/>
        </w:rPr>
      </w:pPr>
      <w:del w:id="142" w:author="Emre A. Yavuz" w:date="2021-04-26T12:35:00Z">
        <w:r w:rsidRPr="004162CD" w:rsidDel="008306B1">
          <w:delText>Editor</w:delText>
        </w:r>
        <w:r w:rsidDel="008306B1">
          <w:delText>'</w:delText>
        </w:r>
        <w:r w:rsidRPr="004162CD" w:rsidDel="008306B1">
          <w:delText xml:space="preserve">s Note: Provisioning of satellite ephemeris data and other information using </w:delText>
        </w:r>
      </w:del>
      <w:ins w:id="143" w:author="Jerome Vogedes (Consultant)" w:date="2021-04-23T11:22:00Z">
        <w:del w:id="144" w:author="Emre A. Yavuz" w:date="2021-04-26T12:35:00Z">
          <w:r w:rsidR="00193397" w:rsidDel="008306B1">
            <w:delText xml:space="preserve">e.g., </w:delText>
          </w:r>
        </w:del>
      </w:ins>
      <w:del w:id="145" w:author="Emre A. Yavuz" w:date="2021-04-26T12:35:00Z">
        <w:r w:rsidRPr="004162CD" w:rsidDel="008306B1">
          <w:delText>System Information (SI) message for IoT</w:delText>
        </w:r>
        <w:r w:rsidDel="008306B1">
          <w:delText xml:space="preserve"> </w:delText>
        </w:r>
        <w:r w:rsidRPr="004162CD" w:rsidDel="008306B1">
          <w:delText>NTN</w:delText>
        </w:r>
      </w:del>
      <w:ins w:id="146" w:author="Jerome Vogedes (Consultant)" w:date="2021-04-23T11:22:00Z">
        <w:del w:id="147" w:author="Emre A. Yavuz" w:date="2021-04-26T12:35:00Z">
          <w:r w:rsidR="00193397" w:rsidDel="008306B1">
            <w:delText>,</w:delText>
          </w:r>
        </w:del>
      </w:ins>
      <w:ins w:id="148" w:author="Jerome Vogedes (Consultant)" w:date="2021-04-23T11:20:00Z">
        <w:del w:id="149" w:author="Emre A. Yavuz" w:date="2021-04-26T12:35:00Z">
          <w:r w:rsidR="00193397" w:rsidDel="008306B1">
            <w:delText xml:space="preserve"> will leverage NR NTN agreements as a baseline. Additional enhancements </w:delText>
          </w:r>
        </w:del>
      </w:ins>
      <w:ins w:id="150" w:author="Jerome Vogedes (Consultant)" w:date="2021-04-23T11:21:00Z">
        <w:del w:id="151" w:author="Emre A. Yavuz" w:date="2021-04-26T12:35:00Z">
          <w:r w:rsidR="00193397" w:rsidDel="008306B1">
            <w:delText xml:space="preserve">for IoT </w:delText>
          </w:r>
          <w:commentRangeStart w:id="152"/>
          <w:commentRangeStart w:id="153"/>
          <w:r w:rsidR="00193397" w:rsidDel="008306B1">
            <w:delText>NTN</w:delText>
          </w:r>
          <w:commentRangeEnd w:id="152"/>
          <w:r w:rsidR="00193397" w:rsidDel="008306B1">
            <w:rPr>
              <w:rStyle w:val="CommentReference"/>
              <w:color w:val="auto"/>
            </w:rPr>
            <w:commentReference w:id="152"/>
          </w:r>
        </w:del>
      </w:ins>
      <w:commentRangeEnd w:id="153"/>
      <w:del w:id="154" w:author="Emre A. Yavuz" w:date="2021-04-26T12:35:00Z">
        <w:r w:rsidR="00676F74" w:rsidDel="008306B1">
          <w:rPr>
            <w:rStyle w:val="CommentReference"/>
            <w:color w:val="auto"/>
          </w:rPr>
          <w:commentReference w:id="153"/>
        </w:r>
        <w:r w:rsidRPr="004162CD" w:rsidDel="008306B1">
          <w:delText xml:space="preserve"> is FFS.</w:delText>
        </w:r>
      </w:del>
    </w:p>
    <w:p w14:paraId="13C09EAE" w14:textId="3B553132" w:rsidR="008306B1" w:rsidRPr="004162CD" w:rsidRDefault="008306B1" w:rsidP="00C759CC">
      <w:pPr>
        <w:pStyle w:val="EditorsNote"/>
      </w:pPr>
      <w:ins w:id="155" w:author="Emre A. Yavuz" w:date="2021-04-26T12:34:00Z">
        <w:r w:rsidRPr="004162CD">
          <w:t>Editor</w:t>
        </w:r>
        <w:r>
          <w:t>'</w:t>
        </w:r>
        <w:r w:rsidRPr="004162CD">
          <w:t xml:space="preserve">s Note: Provisioning of </w:t>
        </w:r>
        <w:commentRangeStart w:id="156"/>
        <w:r w:rsidRPr="004162CD">
          <w:t xml:space="preserve">satellite </w:t>
        </w:r>
      </w:ins>
      <w:ins w:id="157" w:author="CATT" w:date="2021-04-26T19:48:00Z">
        <w:r w:rsidR="00C52D9C">
          <w:t>assistance information</w:t>
        </w:r>
      </w:ins>
      <w:ins w:id="158" w:author="Emre A. Yavuz" w:date="2021-04-26T12:34:00Z">
        <w:del w:id="159" w:author="CATT" w:date="2021-04-26T19:48:00Z">
          <w:r w:rsidRPr="004162CD" w:rsidDel="00C52D9C">
            <w:delText>ephemeris data and other information</w:delText>
          </w:r>
        </w:del>
      </w:ins>
      <w:commentRangeEnd w:id="156"/>
      <w:del w:id="160" w:author="CATT" w:date="2021-04-26T19:48:00Z">
        <w:r w:rsidR="00C52D9C" w:rsidDel="00C52D9C">
          <w:rPr>
            <w:rStyle w:val="CommentReference"/>
            <w:color w:val="auto"/>
          </w:rPr>
          <w:commentReference w:id="156"/>
        </w:r>
      </w:del>
      <w:ins w:id="161" w:author="Emre A. Yavuz" w:date="2021-04-26T12:34:00Z">
        <w:r w:rsidRPr="004162CD">
          <w:t xml:space="preserve"> using System Information (SI)</w:t>
        </w:r>
      </w:ins>
      <w:ins w:id="162" w:author="Emre A. Yavuz" w:date="2021-04-26T12:35:00Z">
        <w:r>
          <w:t xml:space="preserve"> message for IoT NTN is FFS</w:t>
        </w:r>
      </w:ins>
      <w:ins w:id="163" w:author="Emre A. Yavuz" w:date="2021-04-26T12:34:00Z">
        <w:r w:rsidRPr="004162CD">
          <w:t>.</w:t>
        </w:r>
      </w:ins>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164" w:name="_Toc66198721"/>
      <w:r w:rsidRPr="00A33D41">
        <w:t>7.3.1.3</w:t>
      </w:r>
      <w:r w:rsidRPr="00A33D41">
        <w:tab/>
        <w:t xml:space="preserve">Enhancements to UE </w:t>
      </w:r>
      <w:r>
        <w:t xml:space="preserve">Idle mode </w:t>
      </w:r>
      <w:r w:rsidRPr="00A33D41">
        <w:t>mobility</w:t>
      </w:r>
      <w:bookmarkEnd w:id="164"/>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165" w:name="_Toc66197036"/>
      <w:bookmarkStart w:id="166" w:name="_Toc66198722"/>
      <w:r w:rsidRPr="00A33D41">
        <w:t>7.3.2</w:t>
      </w:r>
      <w:r w:rsidRPr="00A33D41">
        <w:tab/>
        <w:t>Connected mode mobility enhancements</w:t>
      </w:r>
      <w:bookmarkEnd w:id="165"/>
      <w:bookmarkEnd w:id="166"/>
    </w:p>
    <w:p w14:paraId="2AAC24AC" w14:textId="77777777" w:rsidR="00C759CC" w:rsidRPr="00CA2600" w:rsidRDefault="00C759CC" w:rsidP="00325DAD">
      <w:pPr>
        <w:pStyle w:val="Heading4"/>
      </w:pPr>
      <w:bookmarkStart w:id="167" w:name="_Toc66198723"/>
      <w:r w:rsidRPr="00CA2600">
        <w:t>7.3.2.1</w:t>
      </w:r>
      <w:r w:rsidRPr="00CA2600">
        <w:tab/>
        <w:t>General</w:t>
      </w:r>
      <w:bookmarkEnd w:id="167"/>
    </w:p>
    <w:p w14:paraId="29079F7F" w14:textId="77777777" w:rsidR="00C759CC" w:rsidRPr="00A33D41" w:rsidRDefault="00C759CC" w:rsidP="00C759CC">
      <w:r w:rsidRPr="00A33D41">
        <w:t>Similar to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168" w:name="_Toc66198724"/>
      <w:r w:rsidRPr="00A33D41">
        <w:t>7.3.2.</w:t>
      </w:r>
      <w:r>
        <w:t>2</w:t>
      </w:r>
      <w:r w:rsidRPr="00A33D41">
        <w:tab/>
        <w:t xml:space="preserve">Connected </w:t>
      </w:r>
      <w:r>
        <w:t>m</w:t>
      </w:r>
      <w:r w:rsidRPr="00A33D41">
        <w:t xml:space="preserve">ode </w:t>
      </w:r>
      <w:r>
        <w:t>m</w:t>
      </w:r>
      <w:r w:rsidRPr="00A33D41">
        <w:t>obility for NB-IoT NTN</w:t>
      </w:r>
      <w:bookmarkEnd w:id="168"/>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77C5EBDF" w:rsidR="00C759CC" w:rsidRPr="00A33D41" w:rsidRDefault="00C759CC" w:rsidP="00C759CC">
      <w:pPr>
        <w:rPr>
          <w:color w:val="0D0D0D"/>
        </w:rPr>
      </w:pPr>
      <w:commentRangeStart w:id="169"/>
      <w:del w:id="170" w:author="Emre A. Yavuz" w:date="2021-04-26T12:43:00Z">
        <w:r w:rsidDel="000F27D8">
          <w:delText xml:space="preserve">Release-16 </w:delText>
        </w:r>
      </w:del>
      <w:ins w:id="171" w:author="Eutelsat-Rapporteur (v01)" w:date="2021-04-22T11:48:00Z">
        <w:r w:rsidR="009F7F53">
          <w:t xml:space="preserve">RLF and </w:t>
        </w:r>
      </w:ins>
      <w:r>
        <w:t>RRC connection re-establishment procedure</w:t>
      </w:r>
      <w:ins w:id="172" w:author="Eutelsat-Rapporteur (v01)" w:date="2021-04-22T11:48:00Z">
        <w:r w:rsidR="009F7F53">
          <w:t>s</w:t>
        </w:r>
      </w:ins>
      <w:ins w:id="173" w:author="Emre A. Yavuz" w:date="2021-04-26T12:43:00Z">
        <w:r w:rsidR="000F27D8">
          <w:t>, up to Release</w:t>
        </w:r>
      </w:ins>
      <w:ins w:id="174" w:author="Emre A. Yavuz" w:date="2021-04-26T12:44:00Z">
        <w:r w:rsidR="000F27D8">
          <w:t xml:space="preserve"> 16,</w:t>
        </w:r>
        <w:commentRangeEnd w:id="169"/>
        <w:r w:rsidR="000F27D8">
          <w:rPr>
            <w:rStyle w:val="CommentReference"/>
          </w:rPr>
          <w:commentReference w:id="169"/>
        </w:r>
      </w:ins>
      <w:ins w:id="175" w:author="Eutelsat-Rapporteur (v01)" w:date="2021-04-22T11:48:00Z">
        <w:r w:rsidR="009F7F53">
          <w:t xml:space="preserve"> are</w:t>
        </w:r>
      </w:ins>
      <w:ins w:id="176" w:author="Eutelsat-Rapporteur (v01)" w:date="2021-04-22T01:39:00Z">
        <w:r w:rsidR="00262EE0">
          <w:t xml:space="preserve"> </w:t>
        </w:r>
      </w:ins>
      <w:del w:id="177" w:author="Eutelsat-Rapporteur (v01)" w:date="2021-04-22T11:48:00Z">
        <w:r w:rsidDel="009F7F53">
          <w:delText xml:space="preserve">is </w:delText>
        </w:r>
      </w:del>
      <w:r>
        <w:t xml:space="preserve">used as a baseline in NB-IoT NTN. </w:t>
      </w:r>
      <w:r w:rsidRPr="00206D01">
        <w:t>Rel</w:t>
      </w:r>
      <w:r>
        <w:t>ease</w:t>
      </w:r>
      <w:r w:rsidRPr="00206D01">
        <w:t>-17</w:t>
      </w:r>
      <w:ins w:id="178"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T NTN, if applicable. Further enhancements can be considered, e.g. by using satellite assistance (ephemeris) information.</w:t>
      </w:r>
    </w:p>
    <w:p w14:paraId="02620AE2" w14:textId="77777777" w:rsidR="00C759CC" w:rsidRPr="00A33D41" w:rsidRDefault="00C759CC" w:rsidP="00325DAD">
      <w:pPr>
        <w:pStyle w:val="Heading4"/>
      </w:pPr>
      <w:bookmarkStart w:id="179" w:name="_Toc66198725"/>
      <w:r w:rsidRPr="00A33D41">
        <w:t>7.3.2.</w:t>
      </w:r>
      <w:r>
        <w:t>3</w:t>
      </w:r>
      <w:r w:rsidRPr="00A33D41">
        <w:tab/>
        <w:t xml:space="preserve">Connected </w:t>
      </w:r>
      <w:r>
        <w:t>m</w:t>
      </w:r>
      <w:r w:rsidRPr="00A33D41">
        <w:t xml:space="preserve">ode </w:t>
      </w:r>
      <w:r>
        <w:t>m</w:t>
      </w:r>
      <w:r w:rsidRPr="00A33D41">
        <w:t>obility for eMTC NTN</w:t>
      </w:r>
      <w:bookmarkEnd w:id="179"/>
    </w:p>
    <w:p w14:paraId="064831DC" w14:textId="77777777" w:rsidR="00C759CC" w:rsidRPr="00A33D41" w:rsidRDefault="00C759CC" w:rsidP="00C759CC">
      <w:r w:rsidRPr="00A33D41">
        <w:t>Challenges in connected mode mobility for eMTC NTN are similar to the connected mode mobility issues in NR</w:t>
      </w:r>
      <w:r>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42986E64" w14:textId="34B6C3A8" w:rsidR="009F7F53" w:rsidRPr="00A33D41" w:rsidRDefault="00CD6D23" w:rsidP="009F7F53">
      <w:pPr>
        <w:rPr>
          <w:ins w:id="180" w:author="Eutelsat-Rapporteur (v01)" w:date="2021-04-22T11:48:00Z"/>
          <w:rFonts w:eastAsia="Malgun Gothic"/>
        </w:rPr>
      </w:pPr>
      <w:commentRangeStart w:id="181"/>
      <w:commentRangeStart w:id="182"/>
      <w:commentRangeStart w:id="183"/>
      <w:commentRangeStart w:id="184"/>
      <w:ins w:id="185" w:author="Eutelsat-Rapporteur (v01)" w:date="2021-04-22T12:21:00Z">
        <w:r>
          <w:lastRenderedPageBreak/>
          <w:t>Release-16</w:t>
        </w:r>
      </w:ins>
      <w:ins w:id="186" w:author="Eutelsat-Rapporteur (v01)" w:date="2021-04-22T11:48:00Z">
        <w:r w:rsidR="009F7F53">
          <w:t xml:space="preserve"> </w:t>
        </w:r>
        <w:commentRangeEnd w:id="181"/>
        <w:r w:rsidR="009F7F53">
          <w:rPr>
            <w:rStyle w:val="CommentReference"/>
          </w:rPr>
          <w:commentReference w:id="181"/>
        </w:r>
      </w:ins>
      <w:commentRangeEnd w:id="182"/>
      <w:r w:rsidR="00193397">
        <w:rPr>
          <w:rStyle w:val="CommentReference"/>
        </w:rPr>
        <w:commentReference w:id="182"/>
      </w:r>
      <w:commentRangeEnd w:id="183"/>
      <w:r w:rsidR="00F22EA0">
        <w:rPr>
          <w:rStyle w:val="CommentReference"/>
        </w:rPr>
        <w:commentReference w:id="183"/>
      </w:r>
      <w:commentRangeEnd w:id="184"/>
      <w:r w:rsidR="00107A20">
        <w:rPr>
          <w:rStyle w:val="CommentReference"/>
        </w:rPr>
        <w:commentReference w:id="184"/>
      </w:r>
      <w:ins w:id="187" w:author="Eutelsat-Rapporteur (v01)" w:date="2021-04-22T11:48:00Z">
        <w:r w:rsidR="009F7F53">
          <w:t>RLF and RRC connection reestablishment procedures</w:t>
        </w:r>
      </w:ins>
      <w:ins w:id="188" w:author="Emre A. Yavuz" w:date="2021-04-26T12:38:00Z">
        <w:r w:rsidR="00F22EA0">
          <w:t>, up to Release</w:t>
        </w:r>
      </w:ins>
      <w:ins w:id="189" w:author="Emre A. Yavuz" w:date="2021-04-26T12:44:00Z">
        <w:r w:rsidR="000F27D8">
          <w:t xml:space="preserve"> </w:t>
        </w:r>
      </w:ins>
      <w:ins w:id="190" w:author="Emre A. Yavuz" w:date="2021-04-26T12:38:00Z">
        <w:r w:rsidR="00F22EA0">
          <w:t>16,</w:t>
        </w:r>
      </w:ins>
      <w:ins w:id="191" w:author="Eutelsat-Rapporteur (v01)" w:date="2021-04-22T11:48:00Z">
        <w:r w:rsidR="009F7F53">
          <w:t xml:space="preserve"> can be </w:t>
        </w:r>
      </w:ins>
      <w:ins w:id="192" w:author="Jerome Vogedes (Consultant)" w:date="2021-04-23T11:24:00Z">
        <w:del w:id="193" w:author="Emre A. Yavuz" w:date="2021-04-26T12:39:00Z">
          <w:r w:rsidR="00193397" w:rsidDel="00F22EA0">
            <w:delText>re-</w:delText>
          </w:r>
        </w:del>
      </w:ins>
      <w:ins w:id="194" w:author="Eutelsat-Rapporteur (v01)" w:date="2021-04-22T11:48:00Z">
        <w:r w:rsidR="009F7F53">
          <w:t>used</w:t>
        </w:r>
      </w:ins>
      <w:ins w:id="195" w:author="Jerome Vogedes (Consultant)" w:date="2021-04-23T11:25:00Z">
        <w:r w:rsidR="00193397">
          <w:t xml:space="preserve"> as a baseline</w:t>
        </w:r>
      </w:ins>
      <w:ins w:id="196" w:author="Jerome Vogedes (Consultant)" w:date="2021-04-23T11:26:00Z">
        <w:r w:rsidR="00193397">
          <w:t xml:space="preserve">. </w:t>
        </w:r>
      </w:ins>
      <w:ins w:id="197" w:author="Jerome Vogedes (Consultant)" w:date="2021-04-23T11:27:00Z">
        <w:del w:id="198" w:author="Emre A. Yavuz" w:date="2021-04-26T12:46:00Z">
          <w:r w:rsidR="00193397" w:rsidDel="000F27D8">
            <w:delText>E</w:delText>
          </w:r>
        </w:del>
      </w:ins>
      <w:ins w:id="199" w:author="Jerome Vogedes (Consultant)" w:date="2021-04-23T11:26:00Z">
        <w:del w:id="200" w:author="Emre A. Yavuz" w:date="2021-04-26T12:46:00Z">
          <w:r w:rsidR="00193397" w:rsidDel="000F27D8">
            <w:delText xml:space="preserve">nhancements to these procedures </w:delText>
          </w:r>
        </w:del>
      </w:ins>
      <w:ins w:id="201" w:author="Eutelsat-Rapporteur (v01)" w:date="2021-04-22T11:48:00Z">
        <w:del w:id="202" w:author="Emre A. Yavuz" w:date="2021-04-26T12:46:00Z">
          <w:r w:rsidR="009F7F53" w:rsidDel="000F27D8">
            <w:delText xml:space="preserve"> (minor enhancements </w:delText>
          </w:r>
        </w:del>
      </w:ins>
      <w:ins w:id="203" w:author="Emre A. Yavuz" w:date="2021-04-26T12:46:00Z">
        <w:r w:rsidR="000F27D8">
          <w:t xml:space="preserve"> (minor enhancements </w:t>
        </w:r>
      </w:ins>
      <w:ins w:id="204" w:author="Eutelsat-Rapporteur (v01)" w:date="2021-04-22T11:48:00Z">
        <w:r w:rsidR="009F7F53">
          <w:t>can be considered</w:t>
        </w:r>
        <w:del w:id="205" w:author="Jerome Vogedes (Consultant)" w:date="2021-04-23T11:26:00Z">
          <w:r w:rsidR="009F7F53" w:rsidDel="00193397">
            <w:delText>)</w:delText>
          </w:r>
        </w:del>
        <w:r w:rsidR="009F7F53">
          <w:t>.</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(e.g. measurement configuration, execution) is the baseline.</w:t>
      </w:r>
    </w:p>
    <w:p w14:paraId="0874C527" w14:textId="77777777" w:rsidR="00C759CC" w:rsidRPr="00CA2600" w:rsidRDefault="00C759CC" w:rsidP="00C759CC">
      <w:pPr>
        <w:pStyle w:val="B1"/>
      </w:pPr>
      <w:r>
        <w:t>-</w:t>
      </w:r>
      <w:r>
        <w:tab/>
      </w:r>
      <w:r w:rsidRPr="00CA2600">
        <w:t>The existing measurement criteria and events applicable to eMTC can be used for IoT</w:t>
      </w:r>
      <w:r w:rsidRPr="00CA2600">
        <w:rPr>
          <w:lang w:eastAsia="zh-CN"/>
        </w:rPr>
        <w:t xml:space="preserve"> </w:t>
      </w:r>
      <w:r w:rsidRPr="00CA2600">
        <w:t xml:space="preserve">NTN. Support for new </w:t>
      </w:r>
      <w:commentRangeStart w:id="206"/>
      <w:r w:rsidRPr="00CA2600">
        <w:t>measurement</w:t>
      </w:r>
      <w:del w:id="207" w:author="Jerome Vogedes (Consultant)" w:date="2021-04-23T11:38:00Z">
        <w:r w:rsidRPr="00CA2600" w:rsidDel="00964EC7">
          <w:delText>s</w:delText>
        </w:r>
      </w:del>
      <w:commentRangeEnd w:id="206"/>
      <w:r w:rsidR="00964EC7">
        <w:rPr>
          <w:rStyle w:val="CommentReference"/>
          <w:rFonts w:eastAsia="PMingLiU"/>
        </w:rPr>
        <w:commentReference w:id="206"/>
      </w:r>
      <w:r w:rsidRPr="00CA2600">
        <w:t xml:space="preserve"> types would need justification, but is not precluded, e.g. for enhanced coverage.</w:t>
      </w:r>
    </w:p>
    <w:p w14:paraId="02BC2839" w14:textId="77777777" w:rsidR="00C759CC" w:rsidRPr="00CA2600" w:rsidRDefault="00C759CC" w:rsidP="00C759CC">
      <w:pPr>
        <w:pStyle w:val="B1"/>
      </w:pPr>
      <w:r>
        <w:t>-</w:t>
      </w:r>
      <w:r>
        <w:tab/>
      </w:r>
      <w:r w:rsidRPr="00CA2600">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C80185E" w14:textId="4DCCE5C7" w:rsidR="009F7F53" w:rsidRPr="00CA2600" w:rsidRDefault="009F7F53" w:rsidP="009F7F53">
      <w:pPr>
        <w:pStyle w:val="B1"/>
        <w:rPr>
          <w:ins w:id="208" w:author="Eutelsat-Rapporteur (v01)" w:date="2021-04-22T11:48:00Z"/>
        </w:rPr>
      </w:pPr>
      <w:ins w:id="209" w:author="Eutelsat-Rapporteur (v01)" w:date="2021-04-22T11:48:00Z">
        <w:r>
          <w:t>-</w:t>
        </w:r>
        <w:r>
          <w:tab/>
          <w:t>Enhancements to CHO, e.g.</w:t>
        </w:r>
      </w:ins>
      <w:ins w:id="210" w:author="Jerome Vogedes (Consultant)" w:date="2021-04-23T11:36:00Z">
        <w:r w:rsidR="009B26B3">
          <w:t>,</w:t>
        </w:r>
      </w:ins>
      <w:ins w:id="211" w:author="Eutelsat-Rapporteur (v01)" w:date="2021-04-22T11:48:00Z">
        <w:r>
          <w:t xml:space="preserve"> </w:t>
        </w:r>
        <w:r w:rsidRPr="00FD0208">
          <w:t>location and time based triggering event</w:t>
        </w:r>
        <w:r>
          <w:t>s related to CHO in eMTC NTN</w:t>
        </w:r>
      </w:ins>
      <w:ins w:id="212" w:author="Jerome Vogedes (Consultant)" w:date="2021-04-23T11:37:00Z">
        <w:r w:rsidR="009B26B3">
          <w:t>,</w:t>
        </w:r>
      </w:ins>
      <w:ins w:id="213" w:author="Eutelsat-Rapporteur (v01)" w:date="2021-04-22T11:48:00Z">
        <w:r>
          <w:t xml:space="preserve"> should </w:t>
        </w:r>
        <w:del w:id="214" w:author="Eutelsat-Rapporteur (v02)" w:date="2021-04-23T01:09:00Z">
          <w:r w:rsidDel="00084B85">
            <w:delText>follow</w:delText>
          </w:r>
        </w:del>
      </w:ins>
      <w:ins w:id="215" w:author="Eutelsat-Rapporteur (v02)" w:date="2021-04-23T01:09:00Z">
        <w:r w:rsidR="00084B85">
          <w:t xml:space="preserve">be based on </w:t>
        </w:r>
      </w:ins>
      <w:ins w:id="216" w:author="Emre A. Yavuz" w:date="2021-04-26T12:51:00Z">
        <w:r w:rsidR="005068B7">
          <w:t>enhancements to CHO in</w:t>
        </w:r>
      </w:ins>
      <w:ins w:id="217" w:author="Eutelsat-Rapporteur (v02)" w:date="2021-04-23T01:09:00Z">
        <w:del w:id="218" w:author="Emre A. Yavuz" w:date="2021-04-26T12:51:00Z">
          <w:r w:rsidR="00084B85" w:rsidDel="005068B7">
            <w:delText xml:space="preserve">solutions </w:delText>
          </w:r>
        </w:del>
      </w:ins>
      <w:ins w:id="219" w:author="Eutelsat-Rapporteur (v02)" w:date="2021-04-23T01:10:00Z">
        <w:del w:id="220" w:author="Emre A. Yavuz" w:date="2021-04-26T12:51:00Z">
          <w:r w:rsidR="00084B85" w:rsidDel="005068B7">
            <w:delText>specified</w:delText>
          </w:r>
        </w:del>
      </w:ins>
      <w:ins w:id="221" w:author="Eutelsat-Rapporteur (v02)" w:date="2021-04-23T01:09:00Z">
        <w:del w:id="222" w:author="Emre A. Yavuz" w:date="2021-04-26T12:51:00Z">
          <w:r w:rsidR="00084B85" w:rsidDel="005068B7">
            <w:delText xml:space="preserve"> for</w:delText>
          </w:r>
        </w:del>
      </w:ins>
      <w:ins w:id="223" w:author="Eutelsat-Rapporteur (v01)" w:date="2021-04-22T11:48:00Z">
        <w:r>
          <w:t xml:space="preserve"> NR NTN</w:t>
        </w:r>
        <w:del w:id="224" w:author="Eutelsat-Rapporteur (v02)" w:date="2021-04-23T01:09:00Z">
          <w:r w:rsidDel="00084B85">
            <w:delText xml:space="preserve"> solutions</w:delText>
          </w:r>
        </w:del>
        <w:r w:rsidRPr="00CA2600">
          <w:t>.</w:t>
        </w:r>
        <w:del w:id="225"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2B4E5E86" w14:textId="77777777" w:rsidR="009F7F53" w:rsidRPr="00CA2600" w:rsidRDefault="009F7F53" w:rsidP="009F7F53">
      <w:pPr>
        <w:pStyle w:val="EditorsNote"/>
        <w:rPr>
          <w:ins w:id="226" w:author="Eutelsat-Rapporteur (v01)" w:date="2021-04-22T11:49:00Z"/>
        </w:rPr>
      </w:pPr>
      <w:bookmarkStart w:id="227" w:name="_Toc66197037"/>
      <w:bookmarkStart w:id="228" w:name="_Toc66198726"/>
      <w:ins w:id="229" w:author="Eutelsat-Rapporteur (v01)" w:date="2021-04-22T11:49:00Z">
        <w:r w:rsidRPr="00CA2600">
          <w:t>Editor</w:t>
        </w:r>
        <w:r>
          <w:t>'</w:t>
        </w:r>
        <w:r w:rsidRPr="00CA2600">
          <w:t xml:space="preserve">s Note: </w:t>
        </w:r>
        <w:r w:rsidRPr="00CA2600">
          <w:rPr>
            <w:lang w:eastAsia="zh-CN"/>
          </w:rPr>
          <w:t xml:space="preserve">RAN2 </w:t>
        </w:r>
        <w:r>
          <w:t>has (so far) not identified any issue in order to support CHO for eMTC NTN UEs in</w:t>
        </w:r>
        <w:r w:rsidRPr="00CA2600">
          <w:t xml:space="preserve"> E-UTRA connected </w:t>
        </w:r>
        <w:r>
          <w:t xml:space="preserve">to </w:t>
        </w:r>
        <w:commentRangeStart w:id="230"/>
        <w:commentRangeStart w:id="231"/>
        <w:r>
          <w:t>EPC</w:t>
        </w:r>
      </w:ins>
      <w:commentRangeEnd w:id="230"/>
      <w:r w:rsidR="009B26B3">
        <w:rPr>
          <w:rStyle w:val="CommentReference"/>
          <w:color w:val="auto"/>
        </w:rPr>
        <w:commentReference w:id="230"/>
      </w:r>
      <w:commentRangeEnd w:id="231"/>
      <w:r w:rsidR="009B26B3">
        <w:rPr>
          <w:rStyle w:val="CommentReference"/>
          <w:color w:val="auto"/>
        </w:rPr>
        <w:commentReference w:id="231"/>
      </w:r>
      <w:ins w:id="232" w:author="Eutelsat-Rapporteur (v01)" w:date="2021-04-22T11:49:00Z">
        <w:r w:rsidRPr="00CA2600">
          <w:t>.</w:t>
        </w:r>
      </w:ins>
    </w:p>
    <w:p w14:paraId="0246C38A" w14:textId="77777777" w:rsidR="00C759CC" w:rsidRPr="00CA2600" w:rsidRDefault="00C759CC" w:rsidP="00325DAD">
      <w:pPr>
        <w:pStyle w:val="Heading3"/>
      </w:pPr>
      <w:r w:rsidRPr="00CA2600">
        <w:t>7.3.3</w:t>
      </w:r>
      <w:r w:rsidRPr="00CA2600">
        <w:tab/>
        <w:t xml:space="preserve">Paging </w:t>
      </w:r>
      <w:r>
        <w:t>c</w:t>
      </w:r>
      <w:r w:rsidRPr="00CA2600">
        <w:t>apacity</w:t>
      </w:r>
      <w:bookmarkEnd w:id="227"/>
      <w:bookmarkEnd w:id="228"/>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1"/>
    <w:bookmarkEnd w:id="42"/>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233" w:author="Eutelsat-Rapporteur (v01)" w:date="2021-04-22T11:49:00Z"/>
        </w:rPr>
      </w:pPr>
      <w:bookmarkStart w:id="234" w:name="_Toc66198731"/>
      <w:ins w:id="235" w:author="Eutelsat-Rapporteur (v01)" w:date="2021-04-22T11:49:00Z">
        <w:r w:rsidRPr="005E0572">
          <w:t xml:space="preserve">Annex C: </w:t>
        </w:r>
        <w:r w:rsidRPr="005E0572">
          <w:br/>
        </w:r>
        <w:bookmarkEnd w:id="234"/>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236" w:author="Eutelsat-Rapporteur (v01)" w:date="2021-04-22T11:49:00Z"/>
          <w:rFonts w:ascii="Arial" w:eastAsia="Times New Roman" w:hAnsi="Arial"/>
          <w:sz w:val="36"/>
        </w:rPr>
      </w:pPr>
      <w:bookmarkStart w:id="237" w:name="_Toc26621098"/>
      <w:bookmarkStart w:id="238" w:name="_Toc30079910"/>
      <w:bookmarkStart w:id="239" w:name="_Toc66197041"/>
      <w:bookmarkStart w:id="240" w:name="_Toc66198732"/>
      <w:ins w:id="241"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237"/>
    <w:bookmarkEnd w:id="238"/>
    <w:bookmarkEnd w:id="239"/>
    <w:bookmarkEnd w:id="240"/>
    <w:p w14:paraId="15B30165" w14:textId="77777777" w:rsidR="009F7F53" w:rsidRPr="00B923D6" w:rsidRDefault="009F7F53" w:rsidP="009F7F53">
      <w:pPr>
        <w:rPr>
          <w:ins w:id="242" w:author="Eutelsat-Rapporteur (v01)" w:date="2021-04-22T11:49:00Z"/>
        </w:rPr>
      </w:pPr>
      <w:ins w:id="243"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244" w:author="Eutelsat-Rapporteur (v01)" w:date="2021-04-22T11:49:00Z"/>
          <w:rFonts w:ascii="Arial" w:eastAsia="Times New Roman" w:hAnsi="Arial"/>
          <w:sz w:val="36"/>
        </w:rPr>
      </w:pPr>
      <w:ins w:id="245"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246" w:author="Eutelsat-Rapporteur (v01)" w:date="2021-04-22T11:49:00Z"/>
          <w:rFonts w:ascii="Arial" w:eastAsia="Times New Roman" w:hAnsi="Arial"/>
          <w:sz w:val="36"/>
        </w:rPr>
      </w:pPr>
      <w:ins w:id="247"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w:t>
        </w:r>
        <w:commentRangeStart w:id="248"/>
        <w:r>
          <w:rPr>
            <w:rFonts w:ascii="Arial" w:eastAsia="Times New Roman" w:hAnsi="Arial"/>
            <w:sz w:val="36"/>
          </w:rPr>
          <w:t>2021</w:t>
        </w:r>
      </w:ins>
      <w:commentRangeEnd w:id="248"/>
      <w:r w:rsidR="009B26B3">
        <w:rPr>
          <w:rStyle w:val="CommentReference"/>
        </w:rPr>
        <w:commentReference w:id="248"/>
      </w:r>
      <w:ins w:id="249" w:author="Eutelsat-Rapporteur (v01)" w:date="2021-04-22T11:49:00Z">
        <w:r>
          <w:rPr>
            <w:rFonts w:ascii="Arial" w:eastAsia="Times New Roman" w:hAnsi="Arial"/>
            <w:sz w:val="36"/>
          </w:rPr>
          <w:t>)</w:t>
        </w:r>
        <w:r w:rsidRPr="005E0572">
          <w:rPr>
            <w:rFonts w:ascii="Arial" w:eastAsia="Times New Roman" w:hAnsi="Arial"/>
            <w:sz w:val="36"/>
          </w:rPr>
          <w:t xml:space="preserve"> </w:t>
        </w:r>
      </w:ins>
    </w:p>
    <w:p w14:paraId="5CD339BD" w14:textId="77777777" w:rsidR="009F7F53" w:rsidRDefault="009F7F53" w:rsidP="009F7F53">
      <w:pPr>
        <w:pStyle w:val="Agreement"/>
        <w:rPr>
          <w:ins w:id="250" w:author="Eutelsat-Rapporteur (v01)" w:date="2021-04-22T11:49:00Z"/>
        </w:rPr>
      </w:pPr>
      <w:ins w:id="251" w:author="Eutelsat-Rapporteur (v01)" w:date="2021-04-22T11:49:00Z">
        <w:r>
          <w:t>The following points are endorsed</w:t>
        </w:r>
      </w:ins>
    </w:p>
    <w:p w14:paraId="2E5AE552" w14:textId="77777777" w:rsidR="009F7F53" w:rsidRPr="00882194" w:rsidRDefault="009F7F53" w:rsidP="009F7F53">
      <w:pPr>
        <w:pStyle w:val="Agreement"/>
        <w:numPr>
          <w:ilvl w:val="0"/>
          <w:numId w:val="0"/>
        </w:numPr>
        <w:ind w:left="1619"/>
        <w:rPr>
          <w:ins w:id="252" w:author="Eutelsat-Rapporteur (v01)" w:date="2021-04-22T11:49:00Z"/>
        </w:rPr>
      </w:pPr>
      <w:ins w:id="253" w:author="Eutelsat-Rapporteur (v01)" w:date="2021-04-22T11:49:00Z">
        <w:r>
          <w:t xml:space="preserve">Enhancements to ra-ResponseWindow and mac-ContentionResolutionTimer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254" w:author="Eutelsat-Rapporteur (v01)" w:date="2021-04-22T11:49:00Z"/>
        </w:rPr>
      </w:pPr>
      <w:ins w:id="255"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256" w:author="Eutelsat-Rapporteur (v01)" w:date="2021-04-22T11:49:00Z"/>
        </w:rPr>
      </w:pPr>
      <w:ins w:id="257" w:author="Eutelsat-Rapporteur (v01)" w:date="2021-04-22T11:49:00Z">
        <w:r>
          <w:t xml:space="preserve">Enhancements to sr-ProhibitTimer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258" w:author="Eutelsat-Rapporteur (v01)" w:date="2021-04-22T11:49:00Z"/>
        </w:rPr>
      </w:pPr>
      <w:ins w:id="259"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260" w:author="Eutelsat-Rapporteur (v01)" w:date="2021-04-22T11:49:00Z"/>
        </w:rPr>
      </w:pPr>
      <w:ins w:id="261"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262" w:author="Eutelsat-Rapporteur (v01)" w:date="2021-04-22T11:49:00Z"/>
        </w:rPr>
      </w:pPr>
      <w:ins w:id="263"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264" w:author="Eutelsat-Rapporteur (v01)" w:date="2021-04-22T11:49:00Z"/>
        </w:rPr>
      </w:pPr>
      <w:ins w:id="265" w:author="Eutelsat-Rapporteur (v01)" w:date="2021-04-22T11:49:00Z">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ins>
    </w:p>
    <w:p w14:paraId="671A9FFB" w14:textId="77777777" w:rsidR="009F7F53" w:rsidRDefault="009F7F53" w:rsidP="009F7F53">
      <w:pPr>
        <w:pStyle w:val="Agreement"/>
        <w:rPr>
          <w:ins w:id="266" w:author="Eutelsat-Rapporteur (v01)" w:date="2021-04-22T11:49:00Z"/>
        </w:rPr>
      </w:pPr>
      <w:ins w:id="267" w:author="Eutelsat-Rapporteur (v01)" w:date="2021-04-22T11:49:00Z">
        <w:r>
          <w:t>The following points are endorsed</w:t>
        </w:r>
      </w:ins>
    </w:p>
    <w:p w14:paraId="03785D9E" w14:textId="77777777" w:rsidR="009F7F53" w:rsidRPr="00882194" w:rsidRDefault="009F7F53" w:rsidP="009F7F53">
      <w:pPr>
        <w:pStyle w:val="Agreement"/>
        <w:numPr>
          <w:ilvl w:val="0"/>
          <w:numId w:val="0"/>
        </w:numPr>
        <w:ind w:left="1619"/>
        <w:rPr>
          <w:ins w:id="268" w:author="Eutelsat-Rapporteur (v01)" w:date="2021-04-22T11:49:00Z"/>
        </w:rPr>
      </w:pPr>
      <w:ins w:id="269"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53FCB716" w:rsidR="009F7F53" w:rsidRPr="00882194" w:rsidRDefault="009F7F53" w:rsidP="009F7F53">
      <w:pPr>
        <w:pStyle w:val="Agreement"/>
        <w:numPr>
          <w:ilvl w:val="0"/>
          <w:numId w:val="0"/>
        </w:numPr>
        <w:ind w:left="1619"/>
        <w:rPr>
          <w:ins w:id="270" w:author="Eutelsat-Rapporteur (v01)" w:date="2021-04-22T11:49:00Z"/>
        </w:rPr>
      </w:pPr>
      <w:ins w:id="271" w:author="Eutelsat-Rapporteur (v01)" w:date="2021-04-22T11:49:00Z">
        <w:r>
          <w:t>Enhancements to PUR are not essential</w:t>
        </w:r>
        <w:del w:id="272" w:author="Eutelsat-Rapporteur (v02)" w:date="2021-04-23T01:11:00Z">
          <w:r w:rsidDel="00084B85">
            <w:delText xml:space="preserve"> (19/23)</w:delText>
          </w:r>
        </w:del>
        <w:r>
          <w:t>. Enhancement to</w:t>
        </w:r>
        <w:r w:rsidRPr="001D7180">
          <w:t xml:space="preserve"> </w:t>
        </w:r>
        <w:r>
          <w:t xml:space="preserve">pur-ResponseTimer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273" w:author="Eutelsat-Rapporteur (v01)" w:date="2021-04-22T11:49:00Z"/>
        </w:rPr>
      </w:pPr>
      <w:ins w:id="274" w:author="Eutelsat-Rapporteur (v01)" w:date="2021-04-22T11:49:00Z">
        <w:r>
          <w:t>Enhancements to RLC t-Reordering timer are essential. There is no need for further study</w:t>
        </w:r>
        <w:r w:rsidRPr="000551C0">
          <w:t xml:space="preserve"> </w:t>
        </w:r>
        <w:r>
          <w:t>as design can follow NR NTN agreements.</w:t>
        </w:r>
      </w:ins>
    </w:p>
    <w:p w14:paraId="0E65DE09" w14:textId="77777777" w:rsidR="009F7F53" w:rsidRDefault="009F7F53" w:rsidP="009F7F53">
      <w:pPr>
        <w:pStyle w:val="Agreement"/>
        <w:rPr>
          <w:ins w:id="275" w:author="Eutelsat-Rapporteur (v01)" w:date="2021-04-22T11:49:00Z"/>
        </w:rPr>
      </w:pPr>
      <w:commentRangeStart w:id="276"/>
      <w:ins w:id="277" w:author="Eutelsat-Rapporteur (v01)" w:date="2021-04-22T11:49:00Z">
        <w:r>
          <w:t>Chair: Most companies think Enhancements for power saving in connected mode are not essential for NTN IOT devices.</w:t>
        </w:r>
      </w:ins>
      <w:commentRangeEnd w:id="276"/>
      <w:r w:rsidR="009B26B3">
        <w:rPr>
          <w:rStyle w:val="CommentReference"/>
          <w:rFonts w:ascii="Times New Roman" w:eastAsia="PMingLiU" w:hAnsi="Times New Roman"/>
          <w:b w:val="0"/>
          <w:szCs w:val="20"/>
          <w:lang w:eastAsia="en-US"/>
        </w:rPr>
        <w:commentReference w:id="276"/>
      </w:r>
    </w:p>
    <w:p w14:paraId="7503B3DE" w14:textId="77777777" w:rsidR="009F7F53" w:rsidRDefault="009F7F53" w:rsidP="009F7F53">
      <w:pPr>
        <w:jc w:val="center"/>
        <w:rPr>
          <w:ins w:id="278"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2"/>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279"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279"/>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280"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280"/>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Eutelsat-Rapporteur (v01)" w:date="2021-04-22T11:43:00Z" w:initials="RF">
    <w:p w14:paraId="0F6067E0" w14:textId="00B74BD2" w:rsidR="009F7F53" w:rsidRDefault="009F7F53">
      <w:pPr>
        <w:pStyle w:val="CommentText"/>
      </w:pPr>
      <w:r>
        <w:rPr>
          <w:rStyle w:val="CommentReference"/>
        </w:rPr>
        <w:annotationRef/>
      </w:r>
      <w:r>
        <w:t>Kept for now in case an</w:t>
      </w:r>
      <w:r w:rsidR="00FD4F45">
        <w:t>y</w:t>
      </w:r>
      <w:r>
        <w:t xml:space="preserve"> update is needed.</w:t>
      </w:r>
    </w:p>
  </w:comment>
  <w:comment w:id="13" w:author="Eutelsat-Rapporteur (v02)" w:date="2021-04-23T01:21:00Z" w:initials="RF">
    <w:p w14:paraId="1366715F" w14:textId="1A7495CE" w:rsidR="0075634D" w:rsidRDefault="0075634D">
      <w:pPr>
        <w:pStyle w:val="CommentText"/>
      </w:pPr>
      <w:r>
        <w:rPr>
          <w:rStyle w:val="CommentReference"/>
        </w:rPr>
        <w:annotationRef/>
      </w:r>
      <w:r>
        <w:t xml:space="preserve">Added </w:t>
      </w:r>
      <w:r w:rsidR="000E4126">
        <w:t xml:space="preserve">a few </w:t>
      </w:r>
      <w:r>
        <w:t>abbrev. in 3.3</w:t>
      </w:r>
    </w:p>
  </w:comment>
  <w:comment w:id="38" w:author="Qualcomm-Bharat" w:date="2021-04-26T08:22:00Z" w:initials="BS">
    <w:p w14:paraId="67C23C76" w14:textId="1D3716E6" w:rsidR="00D40622" w:rsidRDefault="00D40622">
      <w:pPr>
        <w:pStyle w:val="CommentText"/>
      </w:pPr>
      <w:r>
        <w:rPr>
          <w:rStyle w:val="CommentReference"/>
        </w:rPr>
        <w:annotationRef/>
      </w:r>
      <w:r w:rsidR="00C95E64">
        <w:t>Sooner or later, we may need to add it. But for now I do not see where in the TR it is used?</w:t>
      </w:r>
      <w:r w:rsidR="00A41773">
        <w:t xml:space="preserve"> (sure agreements </w:t>
      </w:r>
      <w:r w:rsidR="00B81CAC">
        <w:t>is only high level for now).</w:t>
      </w:r>
    </w:p>
  </w:comment>
  <w:comment w:id="54" w:author="Jerome Vogedes (Consultant)" w:date="2021-04-23T11:01:00Z" w:initials="JV(">
    <w:p w14:paraId="4CB7F9D1" w14:textId="7DF88616" w:rsidR="0065067E" w:rsidRDefault="0065067E">
      <w:pPr>
        <w:pStyle w:val="CommentText"/>
      </w:pPr>
      <w:r>
        <w:rPr>
          <w:rStyle w:val="CommentReference"/>
        </w:rPr>
        <w:annotationRef/>
      </w:r>
      <w:r w:rsidR="0081517D">
        <w:t>To ensure the EN is not ambiguous,</w:t>
      </w:r>
      <w:r>
        <w:t xml:space="preserve"> we propose combining with the </w:t>
      </w:r>
      <w:r w:rsidR="0081517D">
        <w:t xml:space="preserve">previous </w:t>
      </w:r>
      <w:r>
        <w:t xml:space="preserve">statement </w:t>
      </w:r>
    </w:p>
  </w:comment>
  <w:comment w:id="72" w:author="Emre A. Yavuz" w:date="2021-04-26T11:57:00Z" w:initials="Emre">
    <w:p w14:paraId="0A08870B" w14:textId="77777777" w:rsidR="005B78B7" w:rsidRDefault="005B78B7">
      <w:pPr>
        <w:pStyle w:val="CommentText"/>
      </w:pPr>
      <w:r>
        <w:rPr>
          <w:rStyle w:val="CommentReference"/>
        </w:rPr>
        <w:annotationRef/>
      </w:r>
      <w:r>
        <w:t>It is fine to capture the following agreement as part of Editor’s Note considering that it is an interim agreement:</w:t>
      </w:r>
    </w:p>
    <w:p w14:paraId="77B15310" w14:textId="77777777" w:rsidR="005B78B7" w:rsidRDefault="005B78B7">
      <w:pPr>
        <w:pStyle w:val="CommentText"/>
      </w:pPr>
    </w:p>
    <w:p w14:paraId="549FE006" w14:textId="77777777" w:rsidR="005B78B7" w:rsidRDefault="005B78B7">
      <w:pPr>
        <w:pStyle w:val="CommentText"/>
      </w:pPr>
      <w:r>
        <w:t>“</w:t>
      </w:r>
      <w:r w:rsidRPr="00827135">
        <w:t>The NR-NTN agreements, where the network may broadcast more than one TACs per PLMN in a cell is considered for IoT NTN (other options not excluded for now)</w:t>
      </w:r>
      <w:r>
        <w:t>”</w:t>
      </w:r>
    </w:p>
    <w:p w14:paraId="15675AFD" w14:textId="77777777" w:rsidR="005B78B7" w:rsidRDefault="005B78B7">
      <w:pPr>
        <w:pStyle w:val="CommentText"/>
      </w:pPr>
    </w:p>
    <w:p w14:paraId="54E1C721" w14:textId="77777777" w:rsidR="005B78B7" w:rsidRDefault="005B78B7">
      <w:pPr>
        <w:pStyle w:val="CommentText"/>
      </w:pPr>
      <w:r>
        <w:t xml:space="preserve">However, the proposed text does not seem to capture the agreement from the last </w:t>
      </w:r>
      <w:r w:rsidR="00792E64">
        <w:t xml:space="preserve">meeting entirely correct. The intention is to consider the alternative in which the network may broadcast more than one TAC per PLMN, not “may consider” since that would be quite vague. </w:t>
      </w:r>
    </w:p>
    <w:p w14:paraId="65E0F310" w14:textId="77777777" w:rsidR="00792E64" w:rsidRDefault="00792E64">
      <w:pPr>
        <w:pStyle w:val="CommentText"/>
      </w:pPr>
    </w:p>
    <w:p w14:paraId="4CA2C33A" w14:textId="77777777" w:rsidR="00792E64" w:rsidRDefault="00792E64">
      <w:pPr>
        <w:pStyle w:val="CommentText"/>
      </w:pPr>
      <w:r>
        <w:t>“Additional “soft switch” solutions are not precluded</w:t>
      </w:r>
      <w:r w:rsidRPr="00CA2600">
        <w:t>.</w:t>
      </w:r>
      <w:r>
        <w:rPr>
          <w:rStyle w:val="CommentReference"/>
        </w:rPr>
        <w:annotationRef/>
      </w:r>
      <w:r>
        <w:t xml:space="preserve">” does not also reflect the intention since “other options” as captured in the agreement does not refer to the options for “soft switch” in particular but rather general including the ones for hard switch considering that we discussed the suitability </w:t>
      </w:r>
      <w:r w:rsidR="00EA2B23">
        <w:t>with respect to IoT NTN regarding the impact on UE power consumption.</w:t>
      </w:r>
    </w:p>
    <w:p w14:paraId="778E95D2" w14:textId="77777777" w:rsidR="00F876E5" w:rsidRDefault="00F876E5">
      <w:pPr>
        <w:pStyle w:val="CommentText"/>
      </w:pPr>
    </w:p>
    <w:p w14:paraId="422495A5" w14:textId="26A0D20A" w:rsidR="00F876E5" w:rsidRDefault="00F876E5" w:rsidP="00F876E5">
      <w:pPr>
        <w:pStyle w:val="CommentText"/>
      </w:pPr>
      <w:r>
        <w:t>We suggest updating the existing EN as follows</w:t>
      </w:r>
    </w:p>
  </w:comment>
  <w:comment w:id="117" w:author="CATT" w:date="2021-04-26T19:46:00Z" w:initials="CATT">
    <w:p w14:paraId="0E6BA457" w14:textId="18E0F795" w:rsidR="00C52D9C" w:rsidRPr="00C52D9C" w:rsidRDefault="00C52D9C">
      <w:pPr>
        <w:pStyle w:val="CommentText"/>
        <w:rPr>
          <w:rFonts w:eastAsiaTheme="minorEastAsia"/>
          <w:lang w:eastAsia="zh-CN"/>
        </w:rPr>
      </w:pPr>
      <w:r>
        <w:rPr>
          <w:rStyle w:val="CommentReference"/>
        </w:rPr>
        <w:annotationRef/>
      </w:r>
      <w:r>
        <w:rPr>
          <w:rFonts w:eastAsiaTheme="minorEastAsia" w:hint="eastAsia"/>
          <w:lang w:eastAsia="zh-CN"/>
        </w:rPr>
        <w:t>We</w:t>
      </w:r>
      <w:r>
        <w:rPr>
          <w:rFonts w:eastAsiaTheme="minorEastAsia"/>
          <w:lang w:eastAsia="zh-CN"/>
        </w:rPr>
        <w:t>’</w:t>
      </w:r>
      <w:r>
        <w:rPr>
          <w:rFonts w:eastAsiaTheme="minorEastAsia" w:hint="eastAsia"/>
          <w:lang w:eastAsia="zh-CN"/>
        </w:rPr>
        <w:t xml:space="preserve">re fine with this approach, just fix the typo, change </w:t>
      </w:r>
      <w:r>
        <w:rPr>
          <w:rFonts w:eastAsiaTheme="minorEastAsia"/>
          <w:lang w:eastAsia="zh-CN"/>
        </w:rPr>
        <w:t>“</w:t>
      </w:r>
      <w:r>
        <w:rPr>
          <w:rFonts w:eastAsiaTheme="minorEastAsia" w:hint="eastAsia"/>
          <w:lang w:eastAsia="zh-CN"/>
        </w:rPr>
        <w:t>TACs</w:t>
      </w:r>
      <w:r>
        <w:rPr>
          <w:rFonts w:eastAsiaTheme="minorEastAsia"/>
          <w:lang w:eastAsia="zh-CN"/>
        </w:rPr>
        <w:t>”</w:t>
      </w:r>
      <w:r>
        <w:rPr>
          <w:rFonts w:eastAsiaTheme="minorEastAsia" w:hint="eastAsia"/>
          <w:lang w:eastAsia="zh-CN"/>
        </w:rPr>
        <w:t xml:space="preserve"> to </w:t>
      </w:r>
      <w:r>
        <w:rPr>
          <w:rFonts w:eastAsiaTheme="minorEastAsia"/>
          <w:lang w:eastAsia="zh-CN"/>
        </w:rPr>
        <w:t>“</w:t>
      </w:r>
      <w:r>
        <w:rPr>
          <w:rFonts w:eastAsiaTheme="minorEastAsia" w:hint="eastAsia"/>
          <w:lang w:eastAsia="zh-CN"/>
        </w:rPr>
        <w:t>TAC</w:t>
      </w:r>
      <w:r>
        <w:rPr>
          <w:rFonts w:eastAsiaTheme="minorEastAsia"/>
          <w:lang w:eastAsia="zh-CN"/>
        </w:rPr>
        <w:t>”</w:t>
      </w:r>
      <w:r>
        <w:rPr>
          <w:rFonts w:eastAsiaTheme="minorEastAsia" w:hint="eastAsia"/>
          <w:lang w:eastAsia="zh-CN"/>
        </w:rPr>
        <w:t>.</w:t>
      </w:r>
    </w:p>
  </w:comment>
  <w:comment w:id="127" w:author="Jerome Vogedes (Consultant)" w:date="2021-04-23T11:15:00Z" w:initials="JV(">
    <w:p w14:paraId="423CF1BA" w14:textId="14AD7E5E" w:rsidR="0081517D" w:rsidRDefault="0081517D">
      <w:pPr>
        <w:pStyle w:val="CommentText"/>
      </w:pPr>
      <w:r>
        <w:rPr>
          <w:rStyle w:val="CommentReference"/>
        </w:rPr>
        <w:annotationRef/>
      </w:r>
      <w:r>
        <w:t>Are there other examples of “Satellite assistance information” or are we only talking about ephemeris? If not, I propose this is simply phrased as “Satellite ephemeris information”</w:t>
      </w:r>
    </w:p>
  </w:comment>
  <w:comment w:id="128" w:author="Emre A. Yavuz" w:date="2021-04-26T12:20:00Z" w:initials="Emre">
    <w:p w14:paraId="572992B9" w14:textId="33A16006" w:rsidR="00000DB0" w:rsidRDefault="00000DB0">
      <w:pPr>
        <w:pStyle w:val="CommentText"/>
      </w:pPr>
      <w:r>
        <w:rPr>
          <w:rStyle w:val="CommentReference"/>
        </w:rPr>
        <w:annotationRef/>
      </w:r>
      <w:r>
        <w:t xml:space="preserve">Maybe, but there is no point in doing so until </w:t>
      </w:r>
      <w:r w:rsidR="00FB08BD">
        <w:t>this becomes clear in 3GPP for all involved WGs. We suggest keeping the original wording which will also be consistent with the rest of the text in the TR.</w:t>
      </w:r>
    </w:p>
  </w:comment>
  <w:comment w:id="152" w:author="Jerome Vogedes (Consultant)" w:date="2021-04-23T11:21:00Z" w:initials="JV(">
    <w:p w14:paraId="39625897" w14:textId="100073E2" w:rsidR="00193397" w:rsidRDefault="00193397">
      <w:pPr>
        <w:pStyle w:val="CommentText"/>
      </w:pPr>
      <w:r>
        <w:rPr>
          <w:rStyle w:val="CommentReference"/>
        </w:rPr>
        <w:annotationRef/>
      </w:r>
      <w:r>
        <w:t>The update is based on the following agreement from RAN2#113bis-e: “</w:t>
      </w:r>
      <w:r w:rsidRPr="00193397">
        <w:t>Provisioning of ephemeris is essential. NR NTN agreements can be used as the baseline.</w:t>
      </w:r>
      <w:r>
        <w:t>”</w:t>
      </w:r>
    </w:p>
  </w:comment>
  <w:comment w:id="153" w:author="Emre A. Yavuz" w:date="2021-04-26T12:28:00Z" w:initials="Emre">
    <w:p w14:paraId="3D153222" w14:textId="77777777" w:rsidR="00556E49" w:rsidRDefault="00676F74">
      <w:pPr>
        <w:pStyle w:val="CommentText"/>
      </w:pPr>
      <w:r>
        <w:rPr>
          <w:rStyle w:val="CommentReference"/>
        </w:rPr>
        <w:annotationRef/>
      </w:r>
      <w:r>
        <w:t xml:space="preserve">The agreement refers to the functionality as essential, whereas the original EN captures that it is FFS if such information is to be provided via system information broadcast. Considering that RAN2 has not agreed the means to provide the information, it is not clear to us </w:t>
      </w:r>
      <w:r w:rsidR="00556E49">
        <w:t>what the proposed text, i.e., Provisioning of …. will leverage… ” would mean.</w:t>
      </w:r>
    </w:p>
    <w:p w14:paraId="00841E79" w14:textId="77777777" w:rsidR="00556E49" w:rsidRDefault="00556E49">
      <w:pPr>
        <w:pStyle w:val="CommentText"/>
      </w:pPr>
    </w:p>
    <w:p w14:paraId="76E95EB0" w14:textId="013C6B0A" w:rsidR="00676F74" w:rsidRDefault="00556E49">
      <w:pPr>
        <w:pStyle w:val="CommentText"/>
      </w:pPr>
      <w:r>
        <w:t>Where does “Additional enhancements for IoT NTN is FFS” come from? We do not think the proposed wording adds anything, but rather makes the intention less clear and thus suggest keeping the original text.</w:t>
      </w:r>
    </w:p>
  </w:comment>
  <w:comment w:id="156" w:author="CATT" w:date="2021-04-26T19:50:00Z" w:initials="CATT">
    <w:p w14:paraId="0986BEA3" w14:textId="08370731" w:rsidR="00C52D9C" w:rsidRPr="00C52D9C" w:rsidRDefault="00C52D9C">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 xml:space="preserve">hange it to satellite assistance information, to align with the texts before. </w:t>
      </w:r>
      <w:r>
        <w:rPr>
          <w:rFonts w:eastAsiaTheme="minorEastAsia"/>
          <w:lang w:eastAsia="zh-CN"/>
        </w:rPr>
        <w:t>T</w:t>
      </w:r>
      <w:r>
        <w:rPr>
          <w:rFonts w:eastAsiaTheme="minorEastAsia" w:hint="eastAsia"/>
          <w:lang w:eastAsia="zh-CN"/>
        </w:rPr>
        <w:t xml:space="preserve">he assistance info includes satellite ephemeris data and maybe some other info. </w:t>
      </w:r>
    </w:p>
  </w:comment>
  <w:comment w:id="169" w:author="Emre A. Yavuz" w:date="2021-04-26T12:44:00Z" w:initials="Emre">
    <w:p w14:paraId="7EF6CE2F" w14:textId="172E4D58" w:rsidR="000F27D8" w:rsidRDefault="000F27D8">
      <w:pPr>
        <w:pStyle w:val="CommentText"/>
      </w:pPr>
      <w:r>
        <w:rPr>
          <w:rStyle w:val="CommentReference"/>
        </w:rPr>
        <w:annotationRef/>
      </w:r>
      <w:r>
        <w:t>Please see the related comment in the next section.</w:t>
      </w:r>
    </w:p>
  </w:comment>
  <w:comment w:id="181" w:author="Eutelsat-Rapporteur (v01)" w:date="2021-04-22T01:40:00Z" w:initials="RF">
    <w:p w14:paraId="6CCFD30F" w14:textId="1A931675" w:rsidR="009F7F53" w:rsidRDefault="00CD6D23" w:rsidP="009F7F53">
      <w:pPr>
        <w:pStyle w:val="CommentText"/>
      </w:pPr>
      <w:r>
        <w:t xml:space="preserve">Note; </w:t>
      </w:r>
      <w:r w:rsidR="009F7F53">
        <w:rPr>
          <w:rStyle w:val="CommentReference"/>
        </w:rPr>
        <w:annotationRef/>
      </w:r>
      <w:r w:rsidR="00A75672">
        <w:t>meeting a</w:t>
      </w:r>
      <w:r>
        <w:t xml:space="preserve">greement states </w:t>
      </w:r>
      <w:r w:rsidR="009F7F53">
        <w:t>"</w:t>
      </w:r>
      <w:r>
        <w:t>Legacy</w:t>
      </w:r>
      <w:r w:rsidR="009F7F53">
        <w:t>"</w:t>
      </w:r>
      <w:r w:rsidR="00A75672">
        <w:t>, changed to "Release 16"</w:t>
      </w:r>
      <w:r w:rsidR="009F7F53">
        <w:t xml:space="preserve"> for consistency between NB-IoT and eMTC statements.</w:t>
      </w:r>
      <w:r w:rsidR="00A75672">
        <w:t xml:space="preserve"> We can revert to "Legacy" if there are concerns.</w:t>
      </w:r>
    </w:p>
  </w:comment>
  <w:comment w:id="182" w:author="Jerome Vogedes (Consultant)" w:date="2021-04-23T11:23:00Z" w:initials="JV(">
    <w:p w14:paraId="6C5DDFA3" w14:textId="39405EF2" w:rsidR="00193397" w:rsidRDefault="00193397">
      <w:pPr>
        <w:pStyle w:val="CommentText"/>
      </w:pPr>
      <w:r>
        <w:rPr>
          <w:rStyle w:val="CommentReference"/>
        </w:rPr>
        <w:annotationRef/>
      </w:r>
      <w:r>
        <w:t xml:space="preserve">This seems ok. Perhaps some additional clarification </w:t>
      </w:r>
      <w:r w:rsidR="009B26B3">
        <w:t xml:space="preserve">as “minor” may be subjective </w:t>
      </w:r>
      <w:r>
        <w:t>and add RLF to 3.3</w:t>
      </w:r>
      <w:r w:rsidR="009B26B3">
        <w:t>.</w:t>
      </w:r>
    </w:p>
  </w:comment>
  <w:comment w:id="183" w:author="Emre A. Yavuz" w:date="2021-04-26T12:38:00Z" w:initials="Emre">
    <w:p w14:paraId="414578B6" w14:textId="4935B64D" w:rsidR="00F22EA0" w:rsidRDefault="00F22EA0">
      <w:pPr>
        <w:pStyle w:val="CommentText"/>
      </w:pPr>
      <w:r>
        <w:rPr>
          <w:rStyle w:val="CommentReference"/>
        </w:rPr>
        <w:annotationRef/>
      </w:r>
      <w:r>
        <w:t>Instead of “legacy”, we can use “up to Rel-16”, as suggested in the text, assuming that that was the intention rather than only referring to Rel-16 functionality.</w:t>
      </w:r>
      <w:r w:rsidR="000F27D8">
        <w:t xml:space="preserve"> We assume same update should then be done in the section that captures the case for NB-IoT. Please see the update in the previous section.</w:t>
      </w:r>
    </w:p>
    <w:p w14:paraId="2C9F73BA" w14:textId="7C27728B" w:rsidR="000F27D8" w:rsidRDefault="000F27D8">
      <w:pPr>
        <w:pStyle w:val="CommentText"/>
      </w:pPr>
    </w:p>
    <w:p w14:paraId="106245BF" w14:textId="4DEAD9D9" w:rsidR="000F27D8" w:rsidRDefault="000F27D8">
      <w:pPr>
        <w:pStyle w:val="CommentText"/>
      </w:pPr>
      <w:r>
        <w:t>Regarding the comment on “minor”, we suggest keeping the wording in the related agreement.</w:t>
      </w:r>
    </w:p>
    <w:p w14:paraId="7EDDFF89" w14:textId="77777777" w:rsidR="00F22EA0" w:rsidRDefault="00F22EA0">
      <w:pPr>
        <w:pStyle w:val="CommentText"/>
      </w:pPr>
    </w:p>
    <w:p w14:paraId="273F7FA1" w14:textId="2134BA5B" w:rsidR="00F22EA0" w:rsidRDefault="00F22EA0">
      <w:pPr>
        <w:pStyle w:val="CommentText"/>
      </w:pPr>
    </w:p>
  </w:comment>
  <w:comment w:id="184" w:author="Qualcomm-Bharat" w:date="2021-04-26T08:18:00Z" w:initials="BS">
    <w:p w14:paraId="6C010C53" w14:textId="1CCCED07" w:rsidR="00107A20" w:rsidRDefault="00107A20">
      <w:pPr>
        <w:pStyle w:val="CommentText"/>
      </w:pPr>
      <w:r>
        <w:rPr>
          <w:rStyle w:val="CommentReference"/>
        </w:rPr>
        <w:annotationRef/>
      </w:r>
      <w:r>
        <w:t xml:space="preserve">This agreement is </w:t>
      </w:r>
      <w:r w:rsidR="00097568">
        <w:t xml:space="preserve">just to confirm </w:t>
      </w:r>
      <w:r>
        <w:t>for both NB-IoT and eMTC.</w:t>
      </w:r>
      <w:r w:rsidR="00481D76">
        <w:t xml:space="preserve"> </w:t>
      </w:r>
      <w:r w:rsidR="00471199">
        <w:t>Agree same</w:t>
      </w:r>
      <w:r w:rsidR="00F65CFD">
        <w:t xml:space="preserve"> update should be done, then why say “further enhancement” for NB-IoT and “minor enhancement” for eMTC?</w:t>
      </w:r>
      <w:r w:rsidR="00E61FF5">
        <w:t xml:space="preserve"> We will be OK to align this text as well</w:t>
      </w:r>
      <w:r w:rsidR="00BE5FC9">
        <w:t xml:space="preserve"> with “further enhancement”.</w:t>
      </w:r>
    </w:p>
  </w:comment>
  <w:comment w:id="206" w:author="Jerome Vogedes (Consultant)" w:date="2021-04-23T11:38:00Z" w:initials="JV(">
    <w:p w14:paraId="161B0FCA" w14:textId="0C2FFCCD" w:rsidR="00964EC7" w:rsidRDefault="00964EC7">
      <w:pPr>
        <w:pStyle w:val="CommentText"/>
      </w:pPr>
      <w:r>
        <w:rPr>
          <w:rStyle w:val="CommentReference"/>
        </w:rPr>
        <w:annotationRef/>
      </w:r>
      <w:r>
        <w:t>clerical</w:t>
      </w:r>
    </w:p>
  </w:comment>
  <w:comment w:id="230" w:author="Jerome Vogedes (Consultant)" w:date="2021-04-23T11:36:00Z" w:initials="JV(">
    <w:p w14:paraId="320D25B8" w14:textId="2A08112C" w:rsidR="009B26B3" w:rsidRDefault="009B26B3">
      <w:pPr>
        <w:pStyle w:val="CommentText"/>
      </w:pPr>
      <w:r>
        <w:rPr>
          <w:rStyle w:val="CommentReference"/>
        </w:rPr>
        <w:annotationRef/>
      </w:r>
      <w:r>
        <w:t>Clerical: EN style type missing</w:t>
      </w:r>
      <w:r w:rsidR="00964EC7">
        <w:t xml:space="preserve"> in the TP</w:t>
      </w:r>
    </w:p>
  </w:comment>
  <w:comment w:id="231" w:author="Jerome Vogedes (Consultant)" w:date="2021-04-23T11:37:00Z" w:initials="JV(">
    <w:p w14:paraId="0ECA007F" w14:textId="1B653E7D" w:rsidR="009B26B3" w:rsidRDefault="009B26B3">
      <w:pPr>
        <w:pStyle w:val="CommentText"/>
      </w:pPr>
      <w:r>
        <w:rPr>
          <w:rStyle w:val="CommentReference"/>
        </w:rPr>
        <w:annotationRef/>
      </w:r>
      <w:r w:rsidR="00964EC7">
        <w:t>We d</w:t>
      </w:r>
      <w:r>
        <w:t>o not see the need for this EN. If something is later identified, we can add it.</w:t>
      </w:r>
    </w:p>
  </w:comment>
  <w:comment w:id="248" w:author="Jerome Vogedes (Consultant)" w:date="2021-04-23T11:32:00Z" w:initials="JV(">
    <w:p w14:paraId="586DBD88" w14:textId="77777777" w:rsidR="009B26B3" w:rsidRDefault="009B26B3">
      <w:pPr>
        <w:pStyle w:val="CommentText"/>
      </w:pPr>
      <w:r>
        <w:rPr>
          <w:rStyle w:val="CommentReference"/>
        </w:rPr>
        <w:annotationRef/>
      </w:r>
      <w:r>
        <w:t xml:space="preserve">Include the additional agreements from the chair notes, e.g., </w:t>
      </w:r>
    </w:p>
    <w:p w14:paraId="050CF0C3" w14:textId="77777777" w:rsidR="009B26B3" w:rsidRDefault="009B26B3" w:rsidP="009B26B3">
      <w:pPr>
        <w:pStyle w:val="Agreement"/>
      </w:pPr>
      <w:r>
        <w:t xml:space="preserve">(modified P1) For handling of coverage holes or discountinous satellite coverage in a power efficient way R2 assumes that Sattelite assistance information, e.g. ephemeris info, can be used. </w:t>
      </w:r>
    </w:p>
    <w:p w14:paraId="5C7D20F6" w14:textId="77777777" w:rsidR="009B26B3" w:rsidRDefault="009B26B3" w:rsidP="009B26B3">
      <w:pPr>
        <w:pStyle w:val="Agreement"/>
      </w:pPr>
      <w:r>
        <w:t xml:space="preserve">(modified P2) The NR-NTN agreements, where </w:t>
      </w:r>
      <w:r w:rsidRPr="00916F12">
        <w:t>the network may broadcast more than one TACs per PLMN in a cell</w:t>
      </w:r>
      <w:r>
        <w:t xml:space="preserve"> is considered for IoT NTN (other options not excluded for now)</w:t>
      </w:r>
    </w:p>
    <w:p w14:paraId="47665914" w14:textId="77777777" w:rsidR="009B26B3" w:rsidRDefault="009B26B3" w:rsidP="009B26B3">
      <w:pPr>
        <w:pStyle w:val="Agreement"/>
      </w:pPr>
      <w:r>
        <w:t xml:space="preserve">(modified P3) For enhancements to CHO, e.g. </w:t>
      </w:r>
      <w:r w:rsidRPr="00FD0208">
        <w:t>location and time based triggering event</w:t>
      </w:r>
      <w:r>
        <w:t>s related to CHO in eMTC-based NTN should follow NR-NTN.</w:t>
      </w:r>
    </w:p>
    <w:p w14:paraId="36CCDC31" w14:textId="77777777" w:rsidR="009B26B3" w:rsidRDefault="009B26B3" w:rsidP="009B26B3">
      <w:pPr>
        <w:pStyle w:val="Agreement"/>
      </w:pPr>
      <w:r>
        <w:t>For Connected mode, for both NB-IoT and eMTC, Legacy RLF and reestablishment procedures can be used (minor enhancement can be considered).</w:t>
      </w:r>
    </w:p>
    <w:p w14:paraId="6315378A" w14:textId="4D12770B" w:rsidR="009B26B3" w:rsidRDefault="009B26B3">
      <w:pPr>
        <w:pStyle w:val="CommentText"/>
      </w:pPr>
    </w:p>
  </w:comment>
  <w:comment w:id="276" w:author="Jerome Vogedes (Consultant)" w:date="2021-04-23T11:34:00Z" w:initials="JV(">
    <w:p w14:paraId="364692FB" w14:textId="2113F431" w:rsidR="009B26B3" w:rsidRDefault="009B26B3">
      <w:pPr>
        <w:pStyle w:val="CommentText"/>
      </w:pPr>
      <w:r>
        <w:rPr>
          <w:rStyle w:val="CommentReference"/>
        </w:rPr>
        <w:annotationRef/>
      </w:r>
      <w:r>
        <w:t>Although we agree with this statement, it may not be considered an agreement and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6067E0" w15:done="0"/>
  <w15:commentEx w15:paraId="1366715F" w15:paraIdParent="0F6067E0" w15:done="0"/>
  <w15:commentEx w15:paraId="67C23C76" w15:done="0"/>
  <w15:commentEx w15:paraId="4CB7F9D1" w15:done="0"/>
  <w15:commentEx w15:paraId="422495A5" w15:done="0"/>
  <w15:commentEx w15:paraId="0E6BA457" w15:done="0"/>
  <w15:commentEx w15:paraId="423CF1BA" w15:done="0"/>
  <w15:commentEx w15:paraId="572992B9" w15:paraIdParent="423CF1BA" w15:done="0"/>
  <w15:commentEx w15:paraId="39625897" w15:done="0"/>
  <w15:commentEx w15:paraId="76E95EB0" w15:paraIdParent="39625897" w15:done="0"/>
  <w15:commentEx w15:paraId="0986BEA3" w15:done="0"/>
  <w15:commentEx w15:paraId="7EF6CE2F" w15:done="0"/>
  <w15:commentEx w15:paraId="6CCFD30F" w15:done="0"/>
  <w15:commentEx w15:paraId="6C5DDFA3" w15:paraIdParent="6CCFD30F" w15:done="0"/>
  <w15:commentEx w15:paraId="273F7FA1" w15:paraIdParent="6CCFD30F" w15:done="0"/>
  <w15:commentEx w15:paraId="6C010C53" w15:paraIdParent="6CCFD30F" w15:done="0"/>
  <w15:commentEx w15:paraId="161B0FCA" w15:done="0"/>
  <w15:commentEx w15:paraId="320D25B8" w15:done="0"/>
  <w15:commentEx w15:paraId="0ECA007F" w15:done="0"/>
  <w15:commentEx w15:paraId="6315378A" w15:done="0"/>
  <w15:commentEx w15:paraId="364692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DFFC" w16cex:dateUtc="2021-04-22T09:43:00Z"/>
  <w16cex:commentExtensible w16cex:durableId="242C9FB4" w16cex:dateUtc="2021-04-22T23:21:00Z"/>
  <w16cex:commentExtensible w16cex:durableId="2430F6C5" w16cex:dateUtc="2021-04-26T15:22:00Z"/>
  <w16cex:commentExtensible w16cex:durableId="242D279F" w16cex:dateUtc="2021-04-23T16:01:00Z"/>
  <w16cex:commentExtensible w16cex:durableId="2431291E" w16cex:dateUtc="2021-04-26T09:57:00Z"/>
  <w16cex:commentExtensible w16cex:durableId="242D2ABC" w16cex:dateUtc="2021-04-23T16:15:00Z"/>
  <w16cex:commentExtensible w16cex:durableId="24312E73" w16cex:dateUtc="2021-04-26T10:20:00Z"/>
  <w16cex:commentExtensible w16cex:durableId="242D2C34" w16cex:dateUtc="2021-04-23T16:21:00Z"/>
  <w16cex:commentExtensible w16cex:durableId="24313057" w16cex:dateUtc="2021-04-26T10:28:00Z"/>
  <w16cex:commentExtensible w16cex:durableId="24313422" w16cex:dateUtc="2021-04-26T10:44:00Z"/>
  <w16cex:commentExtensible w16cex:durableId="242B527E" w16cex:dateUtc="2021-04-21T23:40:00Z"/>
  <w16cex:commentExtensible w16cex:durableId="242D2CCA" w16cex:dateUtc="2021-04-23T16:23:00Z"/>
  <w16cex:commentExtensible w16cex:durableId="243132B4" w16cex:dateUtc="2021-04-26T10:38:00Z"/>
  <w16cex:commentExtensible w16cex:durableId="2430F5EE" w16cex:dateUtc="2021-04-26T15:18:00Z"/>
  <w16cex:commentExtensible w16cex:durableId="242D303B" w16cex:dateUtc="2021-04-23T16:38:00Z"/>
  <w16cex:commentExtensible w16cex:durableId="242D2FBB" w16cex:dateUtc="2021-04-23T16:36:00Z"/>
  <w16cex:commentExtensible w16cex:durableId="242D2FF7" w16cex:dateUtc="2021-04-23T16:37:00Z"/>
  <w16cex:commentExtensible w16cex:durableId="242D2EC4" w16cex:dateUtc="2021-04-23T16:32:00Z"/>
  <w16cex:commentExtensible w16cex:durableId="242D2F3B" w16cex:dateUtc="2021-04-23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067E0" w16cid:durableId="242BDFFC"/>
  <w16cid:commentId w16cid:paraId="1366715F" w16cid:durableId="242C9FB4"/>
  <w16cid:commentId w16cid:paraId="67C23C76" w16cid:durableId="2430F6C5"/>
  <w16cid:commentId w16cid:paraId="4CB7F9D1" w16cid:durableId="242D279F"/>
  <w16cid:commentId w16cid:paraId="422495A5" w16cid:durableId="2431291E"/>
  <w16cid:commentId w16cid:paraId="0E6BA457" w16cid:durableId="2430F4E0"/>
  <w16cid:commentId w16cid:paraId="423CF1BA" w16cid:durableId="242D2ABC"/>
  <w16cid:commentId w16cid:paraId="572992B9" w16cid:durableId="24312E73"/>
  <w16cid:commentId w16cid:paraId="39625897" w16cid:durableId="242D2C34"/>
  <w16cid:commentId w16cid:paraId="76E95EB0" w16cid:durableId="24313057"/>
  <w16cid:commentId w16cid:paraId="0986BEA3" w16cid:durableId="2430F4E5"/>
  <w16cid:commentId w16cid:paraId="7EF6CE2F" w16cid:durableId="24313422"/>
  <w16cid:commentId w16cid:paraId="6CCFD30F" w16cid:durableId="242B527E"/>
  <w16cid:commentId w16cid:paraId="6C5DDFA3" w16cid:durableId="242D2CCA"/>
  <w16cid:commentId w16cid:paraId="273F7FA1" w16cid:durableId="243132B4"/>
  <w16cid:commentId w16cid:paraId="6C010C53" w16cid:durableId="2430F5EE"/>
  <w16cid:commentId w16cid:paraId="161B0FCA" w16cid:durableId="242D303B"/>
  <w16cid:commentId w16cid:paraId="320D25B8" w16cid:durableId="242D2FBB"/>
  <w16cid:commentId w16cid:paraId="0ECA007F" w16cid:durableId="242D2FF7"/>
  <w16cid:commentId w16cid:paraId="6315378A" w16cid:durableId="242D2EC4"/>
  <w16cid:commentId w16cid:paraId="364692FB" w16cid:durableId="242D2F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0D869" w14:textId="77777777" w:rsidR="00E85698" w:rsidRDefault="00E85698">
      <w:r>
        <w:separator/>
      </w:r>
    </w:p>
  </w:endnote>
  <w:endnote w:type="continuationSeparator" w:id="0">
    <w:p w14:paraId="20BA141D" w14:textId="77777777" w:rsidR="00E85698" w:rsidRDefault="00E8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3EB5" w14:textId="77777777" w:rsidR="00E85698" w:rsidRDefault="00E85698">
      <w:r>
        <w:separator/>
      </w:r>
    </w:p>
  </w:footnote>
  <w:footnote w:type="continuationSeparator" w:id="0">
    <w:p w14:paraId="5C01BE04" w14:textId="77777777" w:rsidR="00E85698" w:rsidRDefault="00E85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ome Vogedes (Consultant)">
    <w15:presenceInfo w15:providerId="None" w15:userId="Jerome Vogedes (Consultant)"/>
  </w15:person>
  <w15:person w15:author="Emre A. Yavuz">
    <w15:presenceInfo w15:providerId="None" w15:userId="Emre A. Yavuz"/>
  </w15:person>
  <w15:person w15:author="Eutelsat-Rapporteur (v01)">
    <w15:presenceInfo w15:providerId="None" w15:userId="Eutelsat-Rapporteur (v01)"/>
  </w15:person>
  <w15:person w15:author="Eutelsat-Rapporteur (v02)">
    <w15:presenceInfo w15:providerId="None" w15:userId="Eutelsat-Rapporteur (v02)"/>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0DB0"/>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4A4A"/>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3A82"/>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97568"/>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27D8"/>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A20"/>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397"/>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44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199"/>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1D76"/>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68B7"/>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6E49"/>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8B7"/>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67E"/>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74"/>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2E64"/>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17D"/>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06B1"/>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08"/>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4EC7"/>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B3"/>
    <w:rsid w:val="009B26E4"/>
    <w:rsid w:val="009B43BB"/>
    <w:rsid w:val="009B5F8E"/>
    <w:rsid w:val="009B61D3"/>
    <w:rsid w:val="009B68E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773"/>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B6B"/>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1CAC"/>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5FC9"/>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2D9C"/>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5E64"/>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622"/>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6AB7"/>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432F"/>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1FF5"/>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698"/>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2B23"/>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2EA0"/>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CFD"/>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52B0"/>
    <w:rsid w:val="00F873D6"/>
    <w:rsid w:val="00F876E5"/>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621"/>
    <w:rsid w:val="00FA3792"/>
    <w:rsid w:val="00FA5676"/>
    <w:rsid w:val="00FA5C95"/>
    <w:rsid w:val="00FA670F"/>
    <w:rsid w:val="00FA69D0"/>
    <w:rsid w:val="00FA7156"/>
    <w:rsid w:val="00FA775E"/>
    <w:rsid w:val="00FA7C69"/>
    <w:rsid w:val="00FB0773"/>
    <w:rsid w:val="00FB08BD"/>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B2DE9E"/>
  <w15:docId w15:val="{C69CA8CA-310F-45B3-9190-2C7C7680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3C60D11-7B7F-4CA8-8B35-EA8B570B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4E4F1-94C0-4B09-8949-753C9DDD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11</Pages>
  <Words>2921</Words>
  <Characters>16650</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19532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Qualcomm-Bharat</cp:lastModifiedBy>
  <cp:revision>24</cp:revision>
  <cp:lastPrinted>2017-11-03T15:53:00Z</cp:lastPrinted>
  <dcterms:created xsi:type="dcterms:W3CDTF">2021-04-26T09:39:00Z</dcterms:created>
  <dcterms:modified xsi:type="dcterms:W3CDTF">2021-04-26T15:32:00Z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0x0101003244A18A50E4D44392C0F13FE4390A30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