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RRCResumeRequest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RRCResumeRequest without SDT data in response to SDT data transmission request. This is the fallback mechanism. In this case, if the SDT failure timer has already started at the initiation of the SDT transmission, the UE have to start T319 timer when sending RRCResumeRequest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PMingLiU"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DengXian" w:cs="Arial" w:hint="eastAsia"/>
              </w:rPr>
              <w:t>A</w:t>
            </w:r>
            <w:r>
              <w:rPr>
                <w:rFonts w:eastAsia="DengXian"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r>
              <w:rPr>
                <w:rFonts w:eastAsia="SimSun" w:cs="Arial" w:hint="eastAsia"/>
              </w:rPr>
              <w:t>Spreadtrum</w:t>
            </w:r>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lastRenderedPageBreak/>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PMingLiU"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w:t>
              </w:r>
              <w:r>
                <w:rPr>
                  <w:rFonts w:cs="Arial"/>
                  <w:lang w:eastAsia="sv-SE"/>
                </w:rPr>
                <w:lastRenderedPageBreak/>
                <w:t>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SimSun" w:cs="Arial" w:hint="eastAsia"/>
              </w:rPr>
              <w:t>Spreadtrum</w:t>
            </w:r>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DengXian"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lastRenderedPageBreak/>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DengXian" w:cs="Arial"/>
              </w:rPr>
            </w:pPr>
            <w:r>
              <w:rPr>
                <w:rFonts w:eastAsia="DengXian" w:cs="Arial"/>
              </w:rPr>
              <w:t xml:space="preserve">We think that the smart gNB implementation can configure a proper timer value. And the UE can provide assistance information (e.g. expected traffic pattern) to the gNB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DengXian"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PMingLiU"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SimSun" w:cs="Arial" w:hint="eastAsia"/>
              </w:rPr>
              <w:t>Spreadtrum</w:t>
            </w:r>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SimSun"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SimSun"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SimSun" w:cs="Arial"/>
              </w:rPr>
            </w:pPr>
          </w:p>
        </w:tc>
      </w:tr>
      <w:tr w:rsidR="00F049FE" w14:paraId="6918D6AA" w14:textId="77777777" w:rsidTr="00C722AB">
        <w:tc>
          <w:tcPr>
            <w:tcW w:w="1496" w:type="dxa"/>
          </w:tcPr>
          <w:p w14:paraId="2C5CC8FB" w14:textId="0A37D887" w:rsidR="00F049FE" w:rsidRDefault="00F049FE" w:rsidP="00F049FE">
            <w:pPr>
              <w:rPr>
                <w:rFonts w:eastAsia="PMingLiU"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SimSun" w:cs="Arial"/>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lastRenderedPageBreak/>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SimSun" w:cs="Arial" w:hint="eastAsia"/>
              </w:rPr>
              <w:t>Spreadtrum</w:t>
            </w:r>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therefore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PMingLiU" w:cs="Arial"/>
                <w:lang w:val="en-US" w:eastAsia="zh-TW"/>
              </w:rPr>
            </w:pPr>
            <w:r>
              <w:rPr>
                <w:rFonts w:eastAsia="PMingLiU"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xml:space="preserve">. The RSRP threshold limits the cell edge UEs to trigger SDT and the whole SDT procedure is short because </w:t>
            </w:r>
            <w:r>
              <w:rPr>
                <w:rFonts w:eastAsiaTheme="minorEastAsia" w:cs="Arial"/>
                <w:lang w:eastAsia="zh-TW"/>
              </w:rPr>
              <w:lastRenderedPageBreak/>
              <w:t>of data volume threshold. Thus, it is low chance that cell reselection happens during SDT procedure.</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SimSun" w:cs="Arial" w:hint="eastAsia"/>
              </w:rPr>
              <w:t>Spreadtrum</w:t>
            </w:r>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lastRenderedPageBreak/>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lastRenderedPageBreak/>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During legacy RRC connection resume procedure, the UE can only re-use same NCC and I-RNTI when RRCReject message is received. The network responses RRCReject message only when congestion is detected. That means the resumeMAC-I in RRCResumeRequest message is not verified in this case. However, the network may verify the UE with the received resumeMAC-I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PMingLiU"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 xml:space="preserve">SA3 should be consulted on the risk and, if needed, with possible solutions to mitigate the associated risk.  For example, possible </w:t>
              </w:r>
              <w:r>
                <w:rPr>
                  <w:rFonts w:cs="Arial"/>
                  <w:lang w:eastAsia="sv-SE"/>
                </w:rPr>
                <w:lastRenderedPageBreak/>
                <w:t>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SimSun" w:cs="Arial" w:hint="eastAsia"/>
              </w:rPr>
              <w:lastRenderedPageBreak/>
              <w:t>Spreadtrum</w:t>
            </w:r>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SimSun" w:cs="Arial" w:hint="eastAsia"/>
              </w:rPr>
              <w:t>Spreadtrum</w:t>
            </w:r>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lastRenderedPageBreak/>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DengXian"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DengXian" w:cs="Arial"/>
              </w:rPr>
            </w:pPr>
            <w:r>
              <w:rPr>
                <w:rFonts w:eastAsia="DengXian"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DengXian"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SimSun" w:cs="Arial" w:hint="eastAsia"/>
              </w:rPr>
              <w:t>Spreadtrum</w:t>
            </w:r>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lastRenderedPageBreak/>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How to set the C-RNTI to find the UE context as in legacy RRC re-establishment procedure the C-RNTI is set with the one in the source PCell (reconfiguration with sync or mobility from NR failure) or used in the P</w:t>
            </w:r>
            <w:r w:rsidR="009D1741" w:rsidRPr="00984A07">
              <w:rPr>
                <w:rFonts w:cs="Arial"/>
                <w:lang w:eastAsia="sv-SE"/>
              </w:rPr>
              <w:t>c</w:t>
            </w:r>
            <w:r w:rsidRPr="00984A07">
              <w:rPr>
                <w:rFonts w:cs="Arial"/>
                <w:lang w:eastAsia="sv-SE"/>
              </w:rPr>
              <w:t>ell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How to set the physCellId to find the anchor gNB as in legacy RRC re-establishment procedure it is set to the physical cell identity of the source P</w:t>
            </w:r>
            <w:r w:rsidR="009D1741" w:rsidRPr="00984A07">
              <w:rPr>
                <w:rFonts w:cs="Arial"/>
                <w:lang w:eastAsia="sv-SE"/>
              </w:rPr>
              <w:t>c</w:t>
            </w:r>
            <w:r w:rsidRPr="00984A07">
              <w:rPr>
                <w:rFonts w:cs="Arial"/>
                <w:lang w:eastAsia="sv-SE"/>
              </w:rPr>
              <w:t>ell (reconfiguration with sync or mobility from NR failure) or of the P</w:t>
            </w:r>
            <w:r w:rsidR="009D1741" w:rsidRPr="00984A07">
              <w:rPr>
                <w:rFonts w:cs="Arial"/>
                <w:lang w:eastAsia="sv-SE"/>
              </w:rPr>
              <w:t>c</w:t>
            </w:r>
            <w:r w:rsidRPr="00984A07">
              <w:rPr>
                <w:rFonts w:cs="Arial"/>
                <w:lang w:eastAsia="sv-SE"/>
              </w:rPr>
              <w:t>ell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DengXian"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DengXian"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DengXian" w:cs="Arial"/>
              </w:rPr>
            </w:pPr>
            <w:r>
              <w:rPr>
                <w:rFonts w:cs="Arial"/>
                <w:lang w:eastAsia="sv-SE"/>
              </w:rPr>
              <w:t>Entering into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PMingLiU"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DengXian" w:cs="Arial"/>
              </w:rPr>
              <w:t>It causes much complexity to extend RRC reestablishment to inactive state.</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SimSun" w:cs="Arial" w:hint="eastAsia"/>
              </w:rPr>
              <w:lastRenderedPageBreak/>
              <w:t>Spreadtrum</w:t>
            </w:r>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If the UE is in IDLE it cannot RRCResume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PMingLiU" w:cs="Arial"/>
                <w:lang w:val="en-US" w:eastAsia="zh-TW"/>
              </w:rPr>
            </w:pPr>
            <w:r>
              <w:rPr>
                <w:rFonts w:eastAsia="Yu Mincho" w:cs="Arial"/>
                <w:lang w:val="en-US" w:eastAsia="ja-JP"/>
              </w:rPr>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can not send RRC resume to initiate the SDT procedure in new cell. </w:t>
            </w:r>
          </w:p>
        </w:tc>
      </w:tr>
    </w:tbl>
    <w:p w14:paraId="49042735" w14:textId="77777777" w:rsidR="009F0087" w:rsidRDefault="00C92284">
      <w:pPr>
        <w:pStyle w:val="Heading2"/>
        <w:rPr>
          <w:lang w:eastAsia="sv-SE"/>
        </w:rPr>
      </w:pPr>
      <w:r>
        <w:rPr>
          <w:lang w:eastAsia="sv-SE"/>
        </w:rPr>
        <w:lastRenderedPageBreak/>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SimSun" w:cs="Arial" w:hint="eastAsia"/>
              </w:rPr>
              <w:t>Spreadtrum</w:t>
            </w:r>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PMingLiU"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SimSun" w:cs="Arial" w:hint="eastAsia"/>
              </w:rPr>
              <w:t>Spreadtrum</w:t>
            </w:r>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PMingLiU" w:cs="Arial"/>
                <w:lang w:val="en-US" w:eastAsia="zh-TW"/>
              </w:rPr>
            </w:pPr>
            <w:r>
              <w:rPr>
                <w:rFonts w:eastAsia="Yu Mincho" w:cs="Arial"/>
                <w:lang w:val="en-US" w:eastAsia="ja-JP"/>
              </w:rPr>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lastRenderedPageBreak/>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0E086ADE" w:rsidR="009F0087" w:rsidRDefault="00DA30B4">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C0507E9" w:rsidR="009F0087" w:rsidRDefault="00DA30B4">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0F60AD37" w:rsidR="009F0087" w:rsidRDefault="00DA30B4">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r>
              <w:rPr>
                <w:rFonts w:eastAsia="DengXian" w:cs="Arial" w:hint="eastAsia"/>
              </w:rPr>
              <w:t>S</w:t>
            </w:r>
            <w:r>
              <w:rPr>
                <w:rFonts w:eastAsia="DengXian" w:cs="Arial"/>
              </w:rPr>
              <w:t>preadtrum</w:t>
            </w:r>
            <w:bookmarkEnd w:id="103"/>
            <w:bookmarkEnd w:id="104"/>
          </w:p>
        </w:tc>
        <w:tc>
          <w:tcPr>
            <w:tcW w:w="3629" w:type="dxa"/>
          </w:tcPr>
          <w:p w14:paraId="413B5D5A" w14:textId="77777777" w:rsidR="00957EA8" w:rsidRDefault="00957EA8" w:rsidP="00957EA8">
            <w:pPr>
              <w:rPr>
                <w:rFonts w:eastAsia="DengXian" w:cs="Arial"/>
              </w:rPr>
            </w:pPr>
            <w:r>
              <w:rPr>
                <w:rFonts w:eastAsia="DengXian" w:cs="Arial" w:hint="eastAsia"/>
              </w:rPr>
              <w:t>Lifeng Han</w:t>
            </w:r>
          </w:p>
        </w:tc>
        <w:tc>
          <w:tcPr>
            <w:tcW w:w="4590" w:type="dxa"/>
          </w:tcPr>
          <w:p w14:paraId="1D791F89" w14:textId="18256B41" w:rsidR="00957EA8" w:rsidRDefault="00DA30B4" w:rsidP="00957EA8">
            <w:pPr>
              <w:rPr>
                <w:rFonts w:eastAsia="DengXian" w:cs="Arial"/>
              </w:rPr>
            </w:pPr>
            <w:hyperlink r:id="rId14" w:history="1">
              <w:r w:rsidR="009D1741" w:rsidRPr="006E115C">
                <w:rPr>
                  <w:rStyle w:val="Hyperlink"/>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60D375DF" w:rsidR="00D063FA" w:rsidRDefault="00DA30B4" w:rsidP="00D063FA">
            <w:pPr>
              <w:rPr>
                <w:rFonts w:eastAsia="DengXian"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r>
              <w:rPr>
                <w:rFonts w:eastAsia="DengXian" w:cs="Arial" w:hint="eastAsia"/>
              </w:rPr>
              <w:t>X</w:t>
            </w:r>
            <w:r>
              <w:rPr>
                <w:rFonts w:eastAsia="DengXian" w:cs="Arial"/>
              </w:rPr>
              <w:t>ue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09B48E51" w:rsidR="00D063FA" w:rsidRDefault="00DA30B4"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Anil Agiwal</w:t>
            </w:r>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r>
              <w:rPr>
                <w:rFonts w:eastAsia="DengXian" w:cs="Arial" w:hint="eastAsia"/>
              </w:rPr>
              <w:t>W</w:t>
            </w:r>
            <w:r>
              <w:rPr>
                <w:rFonts w:eastAsia="DengXian" w:cs="Arial"/>
              </w:rPr>
              <w:t>angda</w:t>
            </w:r>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r>
              <w:rPr>
                <w:rFonts w:eastAsia="Yu Mincho" w:cs="Arial"/>
                <w:lang w:eastAsia="ja-JP"/>
              </w:rPr>
              <w:t>Ohta, Yoshiaki</w:t>
            </w:r>
          </w:p>
        </w:tc>
        <w:tc>
          <w:tcPr>
            <w:tcW w:w="4590" w:type="dxa"/>
          </w:tcPr>
          <w:p w14:paraId="4E3C2A83" w14:textId="5461AB8A" w:rsidR="003B4155" w:rsidRPr="003B4155" w:rsidRDefault="00DA30B4"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r>
              <w:rPr>
                <w:rFonts w:eastAsia="Yu Mincho" w:cs="Arial"/>
                <w:lang w:eastAsia="ja-JP"/>
              </w:rPr>
              <w:t>Yumin Wu</w:t>
            </w:r>
          </w:p>
        </w:tc>
        <w:tc>
          <w:tcPr>
            <w:tcW w:w="4590" w:type="dxa"/>
          </w:tcPr>
          <w:p w14:paraId="0F731F0F" w14:textId="31F9E871" w:rsidR="00D25EC0" w:rsidRDefault="00DA30B4" w:rsidP="003B4155">
            <w:hyperlink r:id="rId18" w:history="1">
              <w:r w:rsidR="008934DD" w:rsidRPr="00256667">
                <w:rPr>
                  <w:rStyle w:val="Hyperlink"/>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r>
              <w:rPr>
                <w:rFonts w:eastAsia="Yu Mincho" w:cs="Arial"/>
                <w:lang w:eastAsia="ja-JP"/>
              </w:rPr>
              <w:t>Ruiming Zheng</w:t>
            </w:r>
          </w:p>
        </w:tc>
        <w:tc>
          <w:tcPr>
            <w:tcW w:w="4590" w:type="dxa"/>
          </w:tcPr>
          <w:p w14:paraId="69CAB0BC" w14:textId="00116F95" w:rsidR="001C7EBF" w:rsidRDefault="001C7EBF" w:rsidP="003B4155">
            <w:r>
              <w:t>rzheng@qti.qualcomm.com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DA30B4">
      <w:pPr>
        <w:pStyle w:val="Reference"/>
        <w:rPr>
          <w:rFonts w:cs="Arial"/>
          <w:lang w:val="de-DE" w:eastAsia="en-US"/>
        </w:rPr>
      </w:pPr>
      <w:hyperlink r:id="rId19"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Pr="008934DD" w:rsidRDefault="00DA30B4">
      <w:pPr>
        <w:pStyle w:val="Reference"/>
        <w:rPr>
          <w:rFonts w:cs="Arial"/>
          <w:lang w:val="en-US" w:eastAsia="en-US"/>
        </w:rPr>
      </w:pPr>
      <w:hyperlink r:id="rId20"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Pr="008934DD" w:rsidRDefault="00DA30B4">
      <w:pPr>
        <w:pStyle w:val="Reference"/>
        <w:rPr>
          <w:rFonts w:cs="Arial"/>
          <w:lang w:val="en-US" w:eastAsia="en-US"/>
        </w:rPr>
      </w:pPr>
      <w:hyperlink r:id="rId21" w:history="1">
        <w:r w:rsidR="00C92284" w:rsidRPr="008934DD">
          <w:rPr>
            <w:rStyle w:val="Hyperlink"/>
            <w:rFonts w:cs="Arial"/>
            <w:lang w:val="en-US" w:eastAsia="en-US"/>
          </w:rPr>
          <w:t>R2-2101578</w:t>
        </w:r>
      </w:hyperlink>
      <w:r w:rsidR="00C92284" w:rsidRPr="008934DD">
        <w:rPr>
          <w:rFonts w:cs="Arial"/>
          <w:lang w:val="en-US" w:eastAsia="en-US"/>
        </w:rPr>
        <w:t xml:space="preserve"> Small data transmission failure timer – InterDigital, APT, Ericsson, ETRI, FGI, Sharp, Sony</w:t>
      </w:r>
    </w:p>
    <w:p w14:paraId="7706C991" w14:textId="77777777" w:rsidR="009F0087" w:rsidRPr="008934DD" w:rsidRDefault="00DA30B4">
      <w:pPr>
        <w:pStyle w:val="Reference"/>
        <w:rPr>
          <w:rFonts w:cs="Arial"/>
          <w:lang w:val="en-US" w:eastAsia="en-US"/>
        </w:rPr>
      </w:pPr>
      <w:hyperlink r:id="rId22" w:history="1">
        <w:r w:rsidR="00C92284" w:rsidRPr="008934DD">
          <w:rPr>
            <w:rStyle w:val="Hyperlink"/>
            <w:rFonts w:cs="Arial"/>
            <w:lang w:val="en-US" w:eastAsia="en-US"/>
          </w:rPr>
          <w:t>R2-2101184</w:t>
        </w:r>
      </w:hyperlink>
      <w:r w:rsidR="00C92284" w:rsidRPr="008934DD">
        <w:rPr>
          <w:rFonts w:cs="Arial"/>
          <w:lang w:val="en-US" w:eastAsia="en-US"/>
        </w:rPr>
        <w:t xml:space="preserve"> Control plan common aspects for SDT – Huawei, HiSilicon</w:t>
      </w:r>
    </w:p>
    <w:p w14:paraId="5A6FB4B6" w14:textId="77777777" w:rsidR="009F0087" w:rsidRPr="008934DD" w:rsidRDefault="00DA30B4">
      <w:pPr>
        <w:pStyle w:val="Reference"/>
        <w:rPr>
          <w:rFonts w:cs="Arial"/>
          <w:lang w:val="en-US" w:eastAsia="en-US"/>
        </w:rPr>
      </w:pPr>
      <w:hyperlink r:id="rId23" w:history="1">
        <w:r w:rsidR="00C92284" w:rsidRPr="008934DD">
          <w:rPr>
            <w:rStyle w:val="Hyperlink"/>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DA30B4">
      <w:pPr>
        <w:pStyle w:val="Reference"/>
        <w:rPr>
          <w:rFonts w:cs="Arial"/>
          <w:lang w:val="en-US" w:eastAsia="en-US"/>
        </w:rPr>
      </w:pPr>
      <w:hyperlink r:id="rId24" w:history="1">
        <w:r w:rsidR="00C92284" w:rsidRPr="008934DD">
          <w:rPr>
            <w:rStyle w:val="Hyperlink"/>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DA30B4">
      <w:pPr>
        <w:pStyle w:val="Reference"/>
        <w:rPr>
          <w:rFonts w:cs="Arial"/>
          <w:lang w:val="en-US" w:eastAsia="en-US"/>
        </w:rPr>
      </w:pPr>
      <w:hyperlink r:id="rId25" w:history="1">
        <w:r w:rsidR="00C92284" w:rsidRPr="008934DD">
          <w:rPr>
            <w:rStyle w:val="Hyperlink"/>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DA30B4">
      <w:pPr>
        <w:pStyle w:val="Reference"/>
        <w:rPr>
          <w:rFonts w:cs="Arial"/>
          <w:lang w:val="en-US" w:eastAsia="en-US"/>
        </w:rPr>
      </w:pPr>
      <w:hyperlink r:id="rId26" w:history="1">
        <w:r w:rsidR="00C92284" w:rsidRPr="008934DD">
          <w:rPr>
            <w:rStyle w:val="Hyperlink"/>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DA30B4">
      <w:pPr>
        <w:pStyle w:val="Reference"/>
        <w:rPr>
          <w:rFonts w:cs="Arial"/>
          <w:lang w:val="en-US" w:eastAsia="en-US"/>
        </w:rPr>
      </w:pPr>
      <w:hyperlink r:id="rId27" w:history="1">
        <w:r w:rsidR="00C92284" w:rsidRPr="008934DD">
          <w:rPr>
            <w:rStyle w:val="Hyperlink"/>
            <w:rFonts w:cs="Arial"/>
            <w:lang w:val="en-US" w:eastAsia="en-US"/>
          </w:rPr>
          <w:t>R2-2100147</w:t>
        </w:r>
      </w:hyperlink>
      <w:r w:rsidR="00C92284" w:rsidRPr="008934DD">
        <w:rPr>
          <w:rFonts w:cs="Arial"/>
          <w:lang w:val="en-US" w:eastAsia="en-US"/>
        </w:rPr>
        <w:t xml:space="preserve"> Control Plane Common Aspects of RACH and CG based SDT  - Samsung Electronics Co.</w:t>
      </w:r>
    </w:p>
    <w:p w14:paraId="1D6491FC" w14:textId="77777777" w:rsidR="009F0087" w:rsidRPr="008934DD" w:rsidRDefault="00DA30B4">
      <w:pPr>
        <w:pStyle w:val="Reference"/>
        <w:rPr>
          <w:rFonts w:cs="Arial"/>
          <w:lang w:val="en-US" w:eastAsia="en-US"/>
        </w:rPr>
      </w:pPr>
      <w:hyperlink r:id="rId28" w:history="1">
        <w:r w:rsidR="00C92284" w:rsidRPr="008934DD">
          <w:rPr>
            <w:rStyle w:val="Hyperlink"/>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DA30B4">
      <w:pPr>
        <w:pStyle w:val="Reference"/>
        <w:rPr>
          <w:rFonts w:cs="Arial"/>
          <w:lang w:val="en-US" w:eastAsia="en-US"/>
        </w:rPr>
      </w:pPr>
      <w:hyperlink r:id="rId29" w:history="1">
        <w:r w:rsidR="00C92284" w:rsidRPr="008934DD">
          <w:rPr>
            <w:rStyle w:val="Hyperlink"/>
            <w:rFonts w:cs="Arial"/>
            <w:lang w:val="en-US" w:eastAsia="en-US"/>
          </w:rPr>
          <w:t>R2-2101161</w:t>
        </w:r>
      </w:hyperlink>
      <w:r w:rsidR="00C92284" w:rsidRPr="008934DD">
        <w:rPr>
          <w:rFonts w:cs="Arial"/>
          <w:lang w:val="en-US" w:eastAsia="en-US"/>
        </w:rPr>
        <w:t xml:space="preserve"> Control plane common aspects of SDT – ZTE Corporation, Sanechips</w:t>
      </w:r>
    </w:p>
    <w:p w14:paraId="00DB34A2" w14:textId="77777777" w:rsidR="009F0087" w:rsidRPr="008934DD" w:rsidRDefault="00DA30B4">
      <w:pPr>
        <w:pStyle w:val="Reference"/>
        <w:rPr>
          <w:rFonts w:cs="Arial"/>
          <w:lang w:val="en-US" w:eastAsia="en-US"/>
        </w:rPr>
      </w:pPr>
      <w:hyperlink r:id="rId30" w:history="1">
        <w:r w:rsidR="00C92284" w:rsidRPr="008934DD">
          <w:rPr>
            <w:rStyle w:val="Hyperlink"/>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DA30B4">
      <w:pPr>
        <w:pStyle w:val="Reference"/>
        <w:rPr>
          <w:rFonts w:cs="Arial"/>
          <w:lang w:val="en-US" w:eastAsia="en-US"/>
        </w:rPr>
      </w:pPr>
      <w:hyperlink r:id="rId31" w:history="1">
        <w:r w:rsidR="00C92284" w:rsidRPr="008934DD">
          <w:rPr>
            <w:rStyle w:val="Hyperlink"/>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B5032" w14:textId="77777777" w:rsidR="00DA30B4" w:rsidRDefault="00DA30B4">
      <w:pPr>
        <w:spacing w:after="0"/>
      </w:pPr>
      <w:r>
        <w:separator/>
      </w:r>
    </w:p>
  </w:endnote>
  <w:endnote w:type="continuationSeparator" w:id="0">
    <w:p w14:paraId="513CB3AD" w14:textId="77777777" w:rsidR="00DA30B4" w:rsidRDefault="00DA3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DF87" w14:textId="24661653" w:rsidR="009D1741" w:rsidRDefault="009D174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43C3F">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3C3F">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8E40A" w14:textId="77777777" w:rsidR="00DA30B4" w:rsidRDefault="00DA30B4">
      <w:pPr>
        <w:spacing w:after="0"/>
      </w:pPr>
      <w:r>
        <w:separator/>
      </w:r>
    </w:p>
  </w:footnote>
  <w:footnote w:type="continuationSeparator" w:id="0">
    <w:p w14:paraId="66DF19C3" w14:textId="77777777" w:rsidR="00DA30B4" w:rsidRDefault="00DA3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87"/>
    <w:rsid w:val="0000200E"/>
    <w:rsid w:val="00015DA4"/>
    <w:rsid w:val="0002554B"/>
    <w:rsid w:val="00027D93"/>
    <w:rsid w:val="00036A6B"/>
    <w:rsid w:val="00037903"/>
    <w:rsid w:val="0005177E"/>
    <w:rsid w:val="000A7599"/>
    <w:rsid w:val="000C2D76"/>
    <w:rsid w:val="000D1135"/>
    <w:rsid w:val="000D1F02"/>
    <w:rsid w:val="000E11A2"/>
    <w:rsid w:val="000E71A8"/>
    <w:rsid w:val="000F0A86"/>
    <w:rsid w:val="000F2E9D"/>
    <w:rsid w:val="00163BE5"/>
    <w:rsid w:val="00167AC4"/>
    <w:rsid w:val="00185FE0"/>
    <w:rsid w:val="00187DA1"/>
    <w:rsid w:val="00191387"/>
    <w:rsid w:val="00192B3E"/>
    <w:rsid w:val="001A54D7"/>
    <w:rsid w:val="001A7CBF"/>
    <w:rsid w:val="001C7EBF"/>
    <w:rsid w:val="001D13C0"/>
    <w:rsid w:val="001D3C58"/>
    <w:rsid w:val="001E2713"/>
    <w:rsid w:val="0020207D"/>
    <w:rsid w:val="00225A24"/>
    <w:rsid w:val="0023062F"/>
    <w:rsid w:val="002370D4"/>
    <w:rsid w:val="00282396"/>
    <w:rsid w:val="00292E6B"/>
    <w:rsid w:val="00294A69"/>
    <w:rsid w:val="002B559A"/>
    <w:rsid w:val="002D2341"/>
    <w:rsid w:val="002F2B71"/>
    <w:rsid w:val="00312C4A"/>
    <w:rsid w:val="003206BD"/>
    <w:rsid w:val="003225A6"/>
    <w:rsid w:val="00340424"/>
    <w:rsid w:val="00344B74"/>
    <w:rsid w:val="00385DE3"/>
    <w:rsid w:val="00393283"/>
    <w:rsid w:val="003B4155"/>
    <w:rsid w:val="003C192D"/>
    <w:rsid w:val="003D355D"/>
    <w:rsid w:val="003F39F2"/>
    <w:rsid w:val="00413B3A"/>
    <w:rsid w:val="00442858"/>
    <w:rsid w:val="00453E81"/>
    <w:rsid w:val="00487606"/>
    <w:rsid w:val="004A3168"/>
    <w:rsid w:val="004D2DC2"/>
    <w:rsid w:val="004E18D7"/>
    <w:rsid w:val="004E5F49"/>
    <w:rsid w:val="004E6A5A"/>
    <w:rsid w:val="00521BBC"/>
    <w:rsid w:val="00543E4D"/>
    <w:rsid w:val="005623EB"/>
    <w:rsid w:val="005A5DD8"/>
    <w:rsid w:val="005B3580"/>
    <w:rsid w:val="005B7514"/>
    <w:rsid w:val="005D14F2"/>
    <w:rsid w:val="005E48DD"/>
    <w:rsid w:val="005E67AB"/>
    <w:rsid w:val="006224C0"/>
    <w:rsid w:val="00642D1D"/>
    <w:rsid w:val="0069161F"/>
    <w:rsid w:val="006977EF"/>
    <w:rsid w:val="006B508E"/>
    <w:rsid w:val="006C6150"/>
    <w:rsid w:val="006E0D5E"/>
    <w:rsid w:val="00715F4A"/>
    <w:rsid w:val="00736404"/>
    <w:rsid w:val="00737B4C"/>
    <w:rsid w:val="00744DC2"/>
    <w:rsid w:val="00760C00"/>
    <w:rsid w:val="00785640"/>
    <w:rsid w:val="007A307D"/>
    <w:rsid w:val="007E2776"/>
    <w:rsid w:val="007E527D"/>
    <w:rsid w:val="00822CA1"/>
    <w:rsid w:val="00822DD8"/>
    <w:rsid w:val="0085727B"/>
    <w:rsid w:val="008872A1"/>
    <w:rsid w:val="008934DD"/>
    <w:rsid w:val="008A361E"/>
    <w:rsid w:val="008C7B2E"/>
    <w:rsid w:val="008D131F"/>
    <w:rsid w:val="00903483"/>
    <w:rsid w:val="00910697"/>
    <w:rsid w:val="00913FC8"/>
    <w:rsid w:val="009340A8"/>
    <w:rsid w:val="00957EA8"/>
    <w:rsid w:val="00980740"/>
    <w:rsid w:val="00984A07"/>
    <w:rsid w:val="00994976"/>
    <w:rsid w:val="009B73A7"/>
    <w:rsid w:val="009C175A"/>
    <w:rsid w:val="009D1741"/>
    <w:rsid w:val="009F0087"/>
    <w:rsid w:val="00A06766"/>
    <w:rsid w:val="00A16C7E"/>
    <w:rsid w:val="00A43C3F"/>
    <w:rsid w:val="00A4715F"/>
    <w:rsid w:val="00A94EBB"/>
    <w:rsid w:val="00A974B2"/>
    <w:rsid w:val="00AA2F04"/>
    <w:rsid w:val="00AB438B"/>
    <w:rsid w:val="00AE4113"/>
    <w:rsid w:val="00AF6AB4"/>
    <w:rsid w:val="00B0737D"/>
    <w:rsid w:val="00B12DFA"/>
    <w:rsid w:val="00B225F3"/>
    <w:rsid w:val="00B4798F"/>
    <w:rsid w:val="00B63F73"/>
    <w:rsid w:val="00B7673B"/>
    <w:rsid w:val="00B77376"/>
    <w:rsid w:val="00B77B6D"/>
    <w:rsid w:val="00B81747"/>
    <w:rsid w:val="00B83EF0"/>
    <w:rsid w:val="00BA4D8A"/>
    <w:rsid w:val="00BA5877"/>
    <w:rsid w:val="00BB1B74"/>
    <w:rsid w:val="00BB3503"/>
    <w:rsid w:val="00BF0BE4"/>
    <w:rsid w:val="00C12DED"/>
    <w:rsid w:val="00C31EE5"/>
    <w:rsid w:val="00C63C6D"/>
    <w:rsid w:val="00C722AB"/>
    <w:rsid w:val="00C92284"/>
    <w:rsid w:val="00CA1621"/>
    <w:rsid w:val="00CC2AC1"/>
    <w:rsid w:val="00CE4738"/>
    <w:rsid w:val="00CF662E"/>
    <w:rsid w:val="00CF7B32"/>
    <w:rsid w:val="00D063FA"/>
    <w:rsid w:val="00D1537B"/>
    <w:rsid w:val="00D2409F"/>
    <w:rsid w:val="00D25EC0"/>
    <w:rsid w:val="00D27848"/>
    <w:rsid w:val="00D374D9"/>
    <w:rsid w:val="00D37DCE"/>
    <w:rsid w:val="00D409F7"/>
    <w:rsid w:val="00D51832"/>
    <w:rsid w:val="00D97C81"/>
    <w:rsid w:val="00DA10F7"/>
    <w:rsid w:val="00DA30B4"/>
    <w:rsid w:val="00E60F54"/>
    <w:rsid w:val="00E6182F"/>
    <w:rsid w:val="00EC07CC"/>
    <w:rsid w:val="00EC7880"/>
    <w:rsid w:val="00EF50A5"/>
    <w:rsid w:val="00F049FE"/>
    <w:rsid w:val="00F30B6C"/>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sid w:val="009D1741"/>
    <w:rPr>
      <w:color w:val="605E5C"/>
      <w:shd w:val="clear" w:color="auto" w:fill="E1DFDD"/>
    </w:rPr>
  </w:style>
  <w:style w:type="character" w:styleId="UnresolvedMention">
    <w:name w:val="Unresolved Mention"/>
    <w:basedOn w:val="DefaultParagraphFont"/>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Email_Discussions/RAN2/%5BRAN2%23113-e%5D/%5BPost113-e%5D%5B502%5D%5BSDT%5D%20GeneralOtherCpIssues(ZTE)" TargetMode="External"/><Relationship Id="rId3" Type="http://schemas.openxmlformats.org/officeDocument/2006/relationships/customXml" Target="../customXml/item3.xml"/><Relationship Id="rId21" Type="http://schemas.openxmlformats.org/officeDocument/2006/relationships/hyperlink" Target="file:///C:\evutukuri\work\5G\RAN2\docs\R2-2101578.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Specs/archive/33_series/33.501/33501-h0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tsg_ran/WG2_RL2/TSGR2_113-e/Docs/R2-2100001.zip" TargetMode="External"/><Relationship Id="rId29" Type="http://schemas.openxmlformats.org/officeDocument/2006/relationships/hyperlink" Target="https://www.3gpp.org/ftp/tsg_ran/WG2_RL2/TSGR2_113-e/Docs/R2-210116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https://www.3gpp.org/ftp/tsg_ran/WG2_RL2/TSGR2_113-e/Docs/R2-2100366.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file:///C:\evutukuri\work\5G\RAN2\docs\R2-2101223.zip" TargetMode="External"/><Relationship Id="rId28" Type="http://schemas.openxmlformats.org/officeDocument/2006/relationships/hyperlink" Target="https://www.3gpp.org/ftp/tsg_ran/WG2_RL2/TSGR2_113-e/Docs/R2-2101177.zip" TargetMode="External"/><Relationship Id="rId10" Type="http://schemas.openxmlformats.org/officeDocument/2006/relationships/endnotes" Target="endnotes.xml"/><Relationship Id="rId19" Type="http://schemas.openxmlformats.org/officeDocument/2006/relationships/hyperlink" Target="https://www.3gpp.org/ftp/Specs/archive/38_series/38.331/38331-g31.zip" TargetMode="External"/><Relationship Id="rId31" Type="http://schemas.openxmlformats.org/officeDocument/2006/relationships/hyperlink" Target="https://www.3gpp.org/ftp/tsg_ran/WG2_RL2/TSGR2_113-e/Docs/R2-21013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https://www.3gpp.org/ftp/tsg_ran/WG2_RL2/TSGR2_113-e/Docs/R2-2101184.zip" TargetMode="External"/><Relationship Id="rId27" Type="http://schemas.openxmlformats.org/officeDocument/2006/relationships/hyperlink" Target="https://www.3gpp.org/ftp/tsg_ran/WG2_RL2/TSGR2_113-e/Docs/R2-2100147.zip" TargetMode="External"/><Relationship Id="rId30" Type="http://schemas.openxmlformats.org/officeDocument/2006/relationships/hyperlink" Target="https://www.3gpp.org/ftp/tsg_ran/WG2_RL2/TSGR2_113-e/Docs/R2-2100295.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6772</Words>
  <Characters>38602</Characters>
  <Application>Microsoft Office Word</Application>
  <DocSecurity>0</DocSecurity>
  <Lines>321</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 - Ruiming</cp:lastModifiedBy>
  <cp:revision>34</cp:revision>
  <dcterms:created xsi:type="dcterms:W3CDTF">2021-03-23T12:32:00Z</dcterms:created>
  <dcterms:modified xsi:type="dcterms:W3CDTF">2021-03-23T15:48:00Z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