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a"/>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f4"/>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a"/>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a"/>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f4"/>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f4"/>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whether or not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Agree with LG</w:t>
            </w:r>
            <w:r>
              <w:rPr>
                <w:rFonts w:eastAsia="新細明體"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新細明體" w:cs="Arial"/>
                <w:snapToGrid w:val="0"/>
                <w:sz w:val="20"/>
                <w:szCs w:val="20"/>
                <w:lang w:eastAsia="zh-TW"/>
              </w:rPr>
            </w:pPr>
            <w:r>
              <w:rPr>
                <w:rFonts w:eastAsia="新細明體" w:cs="Arial"/>
                <w:snapToGrid w:val="0"/>
                <w:sz w:val="20"/>
                <w:szCs w:val="20"/>
                <w:lang w:eastAsia="zh-TW"/>
              </w:rPr>
              <w:t>Sony</w:t>
            </w:r>
          </w:p>
        </w:tc>
        <w:tc>
          <w:tcPr>
            <w:tcW w:w="1298" w:type="dxa"/>
          </w:tcPr>
          <w:p w14:paraId="44EC5F8E" w14:textId="39E83721" w:rsidR="009142AC" w:rsidRDefault="004A691D" w:rsidP="00F073CC">
            <w:pPr>
              <w:snapToGrid w:val="0"/>
              <w:rPr>
                <w:rFonts w:eastAsia="新細明體" w:cs="Arial"/>
                <w:snapToGrid w:val="0"/>
                <w:sz w:val="20"/>
                <w:szCs w:val="20"/>
                <w:lang w:eastAsia="zh-TW"/>
              </w:rPr>
            </w:pPr>
            <w:r>
              <w:rPr>
                <w:rFonts w:eastAsia="新細明體" w:cs="Arial"/>
                <w:snapToGrid w:val="0"/>
                <w:sz w:val="20"/>
                <w:szCs w:val="20"/>
                <w:lang w:eastAsia="zh-TW"/>
              </w:rPr>
              <w:t>-</w:t>
            </w:r>
          </w:p>
        </w:tc>
        <w:tc>
          <w:tcPr>
            <w:tcW w:w="6531" w:type="dxa"/>
          </w:tcPr>
          <w:p w14:paraId="3B1AAD58" w14:textId="48BC1C94" w:rsidR="009142AC" w:rsidRDefault="004A691D" w:rsidP="00F073CC">
            <w:pPr>
              <w:snapToGrid w:val="0"/>
              <w:rPr>
                <w:rFonts w:eastAsia="新細明體" w:cs="Arial"/>
                <w:snapToGrid w:val="0"/>
                <w:sz w:val="20"/>
                <w:szCs w:val="20"/>
                <w:lang w:eastAsia="zh-TW"/>
              </w:rPr>
            </w:pPr>
            <w:r>
              <w:rPr>
                <w:rFonts w:eastAsia="新細明體" w:cs="Arial"/>
                <w:snapToGrid w:val="0"/>
                <w:sz w:val="20"/>
                <w:szCs w:val="20"/>
                <w:lang w:eastAsia="zh-TW"/>
              </w:rPr>
              <w:t xml:space="preserve">Depends on the timing aspect of data arrival, and also what is to be </w:t>
            </w:r>
            <w:r w:rsidR="00F70239">
              <w:rPr>
                <w:rFonts w:eastAsia="新細明體" w:cs="Arial"/>
                <w:snapToGrid w:val="0"/>
                <w:sz w:val="20"/>
                <w:szCs w:val="20"/>
                <w:lang w:eastAsia="zh-TW"/>
              </w:rPr>
              <w:t xml:space="preserve">described in </w:t>
            </w:r>
            <w:proofErr w:type="spellStart"/>
            <w:r w:rsidR="00F70239">
              <w:rPr>
                <w:rFonts w:eastAsia="新細明體" w:cs="Arial"/>
                <w:snapToGrid w:val="0"/>
                <w:sz w:val="20"/>
                <w:szCs w:val="20"/>
                <w:lang w:eastAsia="zh-TW"/>
              </w:rPr>
              <w:t>specificaions</w:t>
            </w:r>
            <w:proofErr w:type="spellEnd"/>
            <w:r w:rsidR="00F70239">
              <w:rPr>
                <w:rFonts w:eastAsia="新細明體"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新細明體"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新細明體"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similar to ZTE, that this should be modelled within the AS and data arrival for the non-SDT DRBs will be visible to AS.  </w:t>
            </w:r>
          </w:p>
          <w:p w14:paraId="113B5AE5" w14:textId="4BD75632" w:rsidR="00CC54C9" w:rsidRDefault="00CC54C9" w:rsidP="00CC54C9">
            <w:pPr>
              <w:snapToGrid w:val="0"/>
              <w:rPr>
                <w:rFonts w:eastAsia="新細明體"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 xml:space="preserve">This question depends on if DRBs are resumed and if not, then no data visibly “arrives at MAC”. We should rather specify a higher layer indication if this information is needed (e.g. as an indication/BSR type). Currently in legacy it is not MAC that initiates the </w:t>
            </w:r>
            <w:proofErr w:type="spellStart"/>
            <w:r>
              <w:rPr>
                <w:rFonts w:cs="Arial"/>
                <w:sz w:val="20"/>
                <w:szCs w:val="20"/>
              </w:rPr>
              <w:t>RRCResume</w:t>
            </w:r>
            <w:proofErr w:type="spellEnd"/>
            <w:r>
              <w:rPr>
                <w:rFonts w:cs="Arial"/>
                <w:sz w:val="20"/>
                <w:szCs w:val="20"/>
              </w:rPr>
              <w:t>.</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 xml:space="preserve">apporteur </w:t>
            </w:r>
            <w:r>
              <w:rPr>
                <w:rFonts w:cs="Arial"/>
                <w:sz w:val="20"/>
                <w:szCs w:val="20"/>
              </w:rPr>
              <w:t>is from LTE not NR</w:t>
            </w:r>
            <w:r w:rsidR="00460454">
              <w:rPr>
                <w:rFonts w:cs="Arial"/>
                <w:sz w:val="20"/>
                <w:szCs w:val="20"/>
              </w:rPr>
              <w:t xml:space="preserve"> spec</w:t>
            </w:r>
            <w:r>
              <w:rPr>
                <w:rFonts w:cs="Arial"/>
                <w:sz w:val="20"/>
                <w:szCs w:val="20"/>
              </w:rPr>
              <w:t xml:space="preserve">. We think RAN2 should first clarify the </w:t>
            </w:r>
            <w:proofErr w:type="spellStart"/>
            <w:r>
              <w:rPr>
                <w:rFonts w:cs="Arial"/>
                <w:sz w:val="20"/>
                <w:szCs w:val="20"/>
              </w:rPr>
              <w:t>behaviour</w:t>
            </w:r>
            <w:proofErr w:type="spellEnd"/>
            <w:r>
              <w:rPr>
                <w:rFonts w:cs="Arial"/>
                <w:sz w:val="20"/>
                <w:szCs w:val="20"/>
              </w:rPr>
              <w:t xml:space="preserve"> of this aspect in NR MAC spec. i.e. whether MAC can have visibility of the data arrival on the suspend radio bearer.</w:t>
            </w:r>
          </w:p>
        </w:tc>
      </w:tr>
      <w:tr w:rsidR="009E1BD8" w14:paraId="45139C4C" w14:textId="77777777" w:rsidTr="009A26B3">
        <w:tc>
          <w:tcPr>
            <w:tcW w:w="1188" w:type="dxa"/>
          </w:tcPr>
          <w:p w14:paraId="546DC01A" w14:textId="63747A94" w:rsidR="009E1BD8" w:rsidRPr="009E1BD8" w:rsidRDefault="009E1BD8" w:rsidP="009E1BD8">
            <w:pPr>
              <w:snapToGrid w:val="0"/>
              <w:rPr>
                <w:rFonts w:cs="Arial"/>
                <w:sz w:val="20"/>
                <w:szCs w:val="20"/>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1298" w:type="dxa"/>
          </w:tcPr>
          <w:p w14:paraId="116F9684" w14:textId="068F661F" w:rsidR="009E1BD8" w:rsidRDefault="009E1BD8" w:rsidP="009E1BD8">
            <w:pPr>
              <w:snapToGrid w:val="0"/>
              <w:rPr>
                <w:rFonts w:cs="Arial"/>
                <w:sz w:val="20"/>
                <w:szCs w:val="20"/>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531" w:type="dxa"/>
          </w:tcPr>
          <w:p w14:paraId="00EDFD1B" w14:textId="464D6B62" w:rsidR="009E1BD8" w:rsidRDefault="009E1BD8" w:rsidP="009E1BD8">
            <w:pPr>
              <w:rPr>
                <w:rFonts w:cs="Arial"/>
                <w:sz w:val="20"/>
                <w:szCs w:val="20"/>
              </w:rPr>
            </w:pPr>
            <w:r w:rsidRPr="00230358">
              <w:rPr>
                <w:rFonts w:eastAsia="新細明體" w:cs="Arial"/>
                <w:snapToGrid w:val="0"/>
                <w:sz w:val="20"/>
                <w:szCs w:val="20"/>
                <w:lang w:eastAsia="zh-TW"/>
              </w:rPr>
              <w:t>Agree with ZTE and Samsung</w:t>
            </w:r>
            <w:r>
              <w:rPr>
                <w:rFonts w:eastAsia="新細明體" w:cs="Arial"/>
                <w:snapToGrid w:val="0"/>
                <w:sz w:val="20"/>
                <w:szCs w:val="20"/>
                <w:lang w:eastAsia="zh-TW"/>
              </w:rPr>
              <w:t>.</w:t>
            </w:r>
          </w:p>
        </w:tc>
      </w:tr>
      <w:tr w:rsidR="00734BFB" w14:paraId="01BF3816" w14:textId="77777777" w:rsidTr="009A26B3">
        <w:tc>
          <w:tcPr>
            <w:tcW w:w="1188" w:type="dxa"/>
          </w:tcPr>
          <w:p w14:paraId="6EE4796B" w14:textId="6C88AAE1" w:rsidR="00734BFB" w:rsidRDefault="00734BFB" w:rsidP="00734BFB">
            <w:pPr>
              <w:snapToGrid w:val="0"/>
              <w:rPr>
                <w:rFonts w:eastAsia="新細明體" w:cs="Arial"/>
                <w:snapToGrid w:val="0"/>
                <w:sz w:val="20"/>
                <w:szCs w:val="20"/>
                <w:lang w:eastAsia="zh-TW"/>
              </w:rPr>
            </w:pPr>
            <w:r>
              <w:rPr>
                <w:rFonts w:cs="Arial"/>
                <w:snapToGrid w:val="0"/>
                <w:sz w:val="20"/>
                <w:szCs w:val="20"/>
              </w:rPr>
              <w:t>Lenovo</w:t>
            </w:r>
          </w:p>
        </w:tc>
        <w:tc>
          <w:tcPr>
            <w:tcW w:w="1298" w:type="dxa"/>
          </w:tcPr>
          <w:p w14:paraId="4E13027E" w14:textId="5210676F" w:rsidR="00734BFB" w:rsidRDefault="00734BFB" w:rsidP="00734BFB">
            <w:pPr>
              <w:snapToGrid w:val="0"/>
              <w:rPr>
                <w:rFonts w:eastAsia="新細明體" w:cs="Arial"/>
                <w:snapToGrid w:val="0"/>
                <w:sz w:val="20"/>
                <w:szCs w:val="20"/>
                <w:lang w:eastAsia="zh-TW"/>
              </w:rPr>
            </w:pPr>
            <w:r>
              <w:rPr>
                <w:rFonts w:eastAsiaTheme="minorEastAsia" w:cs="Arial"/>
                <w:snapToGrid w:val="0"/>
                <w:sz w:val="20"/>
                <w:szCs w:val="20"/>
                <w:lang w:eastAsia="zh-CN"/>
              </w:rPr>
              <w:t>Yes</w:t>
            </w:r>
          </w:p>
        </w:tc>
        <w:tc>
          <w:tcPr>
            <w:tcW w:w="6531" w:type="dxa"/>
          </w:tcPr>
          <w:p w14:paraId="4A538918" w14:textId="4A99ADED" w:rsidR="00734BFB" w:rsidRPr="00734BFB" w:rsidRDefault="00734BFB" w:rsidP="00734BFB">
            <w:pPr>
              <w:snapToGrid w:val="0"/>
              <w:rPr>
                <w:rFonts w:cs="Arial"/>
                <w:snapToGrid w:val="0"/>
                <w:sz w:val="20"/>
                <w:szCs w:val="20"/>
              </w:rPr>
            </w:pPr>
            <w:r>
              <w:rPr>
                <w:rFonts w:cs="Arial"/>
                <w:snapToGrid w:val="0"/>
                <w:sz w:val="20"/>
                <w:szCs w:val="20"/>
              </w:rPr>
              <w:t xml:space="preserve">We also share the understanding that </w:t>
            </w:r>
            <w:r>
              <w:rPr>
                <w:rFonts w:cs="Arial" w:hint="eastAsia"/>
                <w:snapToGrid w:val="0"/>
                <w:sz w:val="20"/>
                <w:szCs w:val="20"/>
              </w:rPr>
              <w:t>UE is aware</w:t>
            </w:r>
            <w:r>
              <w:rPr>
                <w:rFonts w:cs="Arial"/>
                <w:snapToGrid w:val="0"/>
                <w:sz w:val="20"/>
                <w:szCs w:val="20"/>
              </w:rPr>
              <w:t xml:space="preserve"> of whether </w:t>
            </w:r>
            <w:proofErr w:type="spellStart"/>
            <w:r>
              <w:rPr>
                <w:rFonts w:cs="Arial"/>
                <w:snapToGrid w:val="0"/>
                <w:sz w:val="20"/>
                <w:szCs w:val="20"/>
              </w:rPr>
              <w:t>the</w:t>
            </w:r>
            <w:proofErr w:type="spellEnd"/>
            <w:r>
              <w:rPr>
                <w:rFonts w:cs="Arial"/>
                <w:snapToGrid w:val="0"/>
                <w:sz w:val="20"/>
                <w:szCs w:val="20"/>
              </w:rPr>
              <w:t xml:space="preserve"> arrived data is for SDT or non SDT RBs. </w:t>
            </w:r>
            <w:proofErr w:type="gramStart"/>
            <w:r>
              <w:rPr>
                <w:rFonts w:cs="Arial"/>
                <w:snapToGrid w:val="0"/>
                <w:sz w:val="20"/>
                <w:szCs w:val="20"/>
              </w:rPr>
              <w:t>Also</w:t>
            </w:r>
            <w:proofErr w:type="gramEnd"/>
            <w:r>
              <w:rPr>
                <w:rFonts w:cs="Arial"/>
                <w:snapToGrid w:val="0"/>
                <w:sz w:val="20"/>
                <w:szCs w:val="20"/>
              </w:rPr>
              <w:t xml:space="preserve"> it should be noted that for the data volume </w:t>
            </w:r>
            <w:r>
              <w:rPr>
                <w:rFonts w:cs="Arial"/>
                <w:snapToGrid w:val="0"/>
                <w:sz w:val="20"/>
                <w:szCs w:val="20"/>
              </w:rPr>
              <w:lastRenderedPageBreak/>
              <w:t xml:space="preserve">criteria checking UE, e.g. MAC layer, needs to be aware of the amount of data for non-SDT RBs. </w:t>
            </w:r>
            <w:proofErr w:type="gramStart"/>
            <w:r>
              <w:rPr>
                <w:rFonts w:cs="Arial"/>
                <w:snapToGrid w:val="0"/>
                <w:sz w:val="20"/>
                <w:szCs w:val="20"/>
              </w:rPr>
              <w:t>Therefore</w:t>
            </w:r>
            <w:proofErr w:type="gramEnd"/>
            <w:r>
              <w:rPr>
                <w:rFonts w:cs="Arial"/>
                <w:snapToGrid w:val="0"/>
                <w:sz w:val="20"/>
                <w:szCs w:val="20"/>
              </w:rPr>
              <w:t xml:space="preserve"> from our point of view it’s more a modelling issue.</w:t>
            </w:r>
            <w:r>
              <w:rPr>
                <w:rFonts w:eastAsiaTheme="minorEastAsia" w:cs="Arial"/>
                <w:snapToGrid w:val="0"/>
                <w:sz w:val="20"/>
                <w:szCs w:val="20"/>
                <w:lang w:eastAsia="zh-CN"/>
              </w:rPr>
              <w:t xml:space="preserve"> </w:t>
            </w:r>
          </w:p>
        </w:tc>
      </w:tr>
      <w:tr w:rsidR="002E0D27" w14:paraId="71B22BFA" w14:textId="77777777" w:rsidTr="009A26B3">
        <w:tc>
          <w:tcPr>
            <w:tcW w:w="1188" w:type="dxa"/>
          </w:tcPr>
          <w:p w14:paraId="37DD979F" w14:textId="03F1BD79" w:rsidR="002E0D27" w:rsidRPr="002E0D27" w:rsidRDefault="002E0D27" w:rsidP="00734BFB">
            <w:pPr>
              <w:snapToGrid w:val="0"/>
              <w:rPr>
                <w:rFonts w:eastAsia="新細明體" w:cs="Arial" w:hint="eastAsia"/>
                <w:snapToGrid w:val="0"/>
                <w:sz w:val="20"/>
                <w:szCs w:val="20"/>
                <w:lang w:eastAsia="zh-TW"/>
              </w:rPr>
            </w:pPr>
            <w:r>
              <w:rPr>
                <w:rFonts w:eastAsia="新細明體" w:cs="Arial" w:hint="eastAsia"/>
                <w:snapToGrid w:val="0"/>
                <w:sz w:val="20"/>
                <w:szCs w:val="20"/>
                <w:lang w:eastAsia="zh-TW"/>
              </w:rPr>
              <w:lastRenderedPageBreak/>
              <w:t>A</w:t>
            </w:r>
            <w:r>
              <w:rPr>
                <w:rFonts w:eastAsia="新細明體" w:cs="Arial"/>
                <w:snapToGrid w:val="0"/>
                <w:sz w:val="20"/>
                <w:szCs w:val="20"/>
                <w:lang w:eastAsia="zh-TW"/>
              </w:rPr>
              <w:t>PT</w:t>
            </w:r>
          </w:p>
        </w:tc>
        <w:tc>
          <w:tcPr>
            <w:tcW w:w="1298" w:type="dxa"/>
          </w:tcPr>
          <w:p w14:paraId="4B0E90B1" w14:textId="39659FE8" w:rsidR="002E0D27" w:rsidRPr="001B5525" w:rsidRDefault="001B5525" w:rsidP="00734BFB">
            <w:pPr>
              <w:snapToGrid w:val="0"/>
              <w:rPr>
                <w:rFonts w:eastAsia="新細明體" w:cs="Arial" w:hint="eastAsia"/>
                <w:snapToGrid w:val="0"/>
                <w:sz w:val="20"/>
                <w:szCs w:val="20"/>
                <w:lang w:eastAsia="zh-TW"/>
              </w:rPr>
            </w:pPr>
            <w:r>
              <w:rPr>
                <w:rFonts w:eastAsia="新細明體" w:cs="Arial" w:hint="eastAsia"/>
                <w:snapToGrid w:val="0"/>
                <w:sz w:val="20"/>
                <w:szCs w:val="20"/>
                <w:lang w:eastAsia="zh-TW"/>
              </w:rPr>
              <w:t>N</w:t>
            </w:r>
            <w:r>
              <w:rPr>
                <w:rFonts w:eastAsia="新細明體" w:cs="Arial"/>
                <w:snapToGrid w:val="0"/>
                <w:sz w:val="20"/>
                <w:szCs w:val="20"/>
                <w:lang w:eastAsia="zh-TW"/>
              </w:rPr>
              <w:t>o</w:t>
            </w:r>
          </w:p>
        </w:tc>
        <w:tc>
          <w:tcPr>
            <w:tcW w:w="6531" w:type="dxa"/>
          </w:tcPr>
          <w:p w14:paraId="1A324F6D" w14:textId="77777777" w:rsidR="00C268B1" w:rsidRDefault="00C268B1" w:rsidP="00C268B1">
            <w:pPr>
              <w:snapToGrid w:val="0"/>
              <w:rPr>
                <w:rFonts w:eastAsia="新細明體" w:cs="Arial"/>
                <w:snapToGrid w:val="0"/>
                <w:sz w:val="20"/>
                <w:szCs w:val="20"/>
                <w:lang w:eastAsia="zh-TW"/>
              </w:rPr>
            </w:pPr>
            <w:r>
              <w:rPr>
                <w:rFonts w:eastAsia="新細明體" w:cs="Arial"/>
                <w:snapToGrid w:val="0"/>
                <w:sz w:val="20"/>
                <w:szCs w:val="20"/>
                <w:lang w:eastAsia="zh-TW"/>
              </w:rPr>
              <w:t xml:space="preserve">Unlike TS 36.321, TS 38.321 does not specify that MAC is aware of </w:t>
            </w:r>
            <w:r w:rsidRPr="00124955">
              <w:rPr>
                <w:rFonts w:eastAsia="新細明體" w:cs="Arial"/>
                <w:snapToGrid w:val="0"/>
                <w:sz w:val="20"/>
                <w:szCs w:val="20"/>
                <w:lang w:eastAsia="zh-TW"/>
              </w:rPr>
              <w:t>data arriv</w:t>
            </w:r>
            <w:r>
              <w:rPr>
                <w:rFonts w:eastAsia="新細明體" w:cs="Arial"/>
                <w:snapToGrid w:val="0"/>
                <w:sz w:val="20"/>
                <w:szCs w:val="20"/>
                <w:lang w:eastAsia="zh-TW"/>
              </w:rPr>
              <w:t xml:space="preserve">al of suspended RBs. Hence, we should not assume that NR MAC is aware of data arrival of suspended RBs in with the current </w:t>
            </w:r>
            <w:r>
              <w:rPr>
                <w:rFonts w:eastAsia="新細明體" w:cs="Arial" w:hint="eastAsia"/>
                <w:snapToGrid w:val="0"/>
                <w:sz w:val="20"/>
                <w:szCs w:val="20"/>
                <w:lang w:eastAsia="zh-TW"/>
              </w:rPr>
              <w:t>t</w:t>
            </w:r>
            <w:r>
              <w:rPr>
                <w:rFonts w:eastAsia="新細明體" w:cs="Arial"/>
                <w:snapToGrid w:val="0"/>
                <w:sz w:val="20"/>
                <w:szCs w:val="20"/>
                <w:lang w:eastAsia="zh-TW"/>
              </w:rPr>
              <w:t xml:space="preserve">ext. </w:t>
            </w:r>
          </w:p>
          <w:p w14:paraId="08D1BFA7" w14:textId="171DCEA9" w:rsidR="002E0D27" w:rsidRDefault="00C268B1" w:rsidP="00C268B1">
            <w:pPr>
              <w:snapToGrid w:val="0"/>
              <w:rPr>
                <w:rFonts w:cs="Arial"/>
                <w:snapToGrid w:val="0"/>
                <w:sz w:val="20"/>
                <w:szCs w:val="20"/>
              </w:rPr>
            </w:pPr>
            <w:r>
              <w:rPr>
                <w:rFonts w:eastAsia="新細明體" w:cs="Arial"/>
                <w:snapToGrid w:val="0"/>
                <w:sz w:val="20"/>
                <w:szCs w:val="20"/>
                <w:lang w:eastAsia="zh-TW"/>
              </w:rPr>
              <w:t xml:space="preserve">On the </w:t>
            </w:r>
            <w:proofErr w:type="spellStart"/>
            <w:r>
              <w:rPr>
                <w:rFonts w:eastAsia="新細明體" w:cs="Arial"/>
                <w:snapToGrid w:val="0"/>
                <w:sz w:val="20"/>
                <w:szCs w:val="20"/>
                <w:lang w:eastAsia="zh-TW"/>
              </w:rPr>
              <w:t>othet</w:t>
            </w:r>
            <w:proofErr w:type="spellEnd"/>
            <w:r>
              <w:rPr>
                <w:rFonts w:eastAsia="新細明體" w:cs="Arial"/>
                <w:snapToGrid w:val="0"/>
                <w:sz w:val="20"/>
                <w:szCs w:val="20"/>
                <w:lang w:eastAsia="zh-TW"/>
              </w:rPr>
              <w:t xml:space="preserve"> hand, if one of the options proposed in section 2.2, i.e., CCCH/new MAC CE/DCCH, can be agreed, it seems no need to care whether the suspended RB is visible in MAC or not. Because that indication can inform </w:t>
            </w:r>
            <w:r w:rsidRPr="00211FD9">
              <w:rPr>
                <w:rFonts w:eastAsia="新細明體" w:cs="Arial"/>
                <w:snapToGrid w:val="0"/>
                <w:sz w:val="20"/>
                <w:szCs w:val="20"/>
                <w:lang w:eastAsia="zh-TW"/>
              </w:rPr>
              <w:t>the network about the data arrival on the non-SDT RBs</w:t>
            </w:r>
            <w:r>
              <w:rPr>
                <w:rFonts w:eastAsia="新細明體" w:cs="Arial"/>
                <w:snapToGrid w:val="0"/>
                <w:sz w:val="20"/>
                <w:szCs w:val="20"/>
                <w:lang w:eastAsia="zh-TW"/>
              </w:rPr>
              <w:t>.</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f4"/>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lastRenderedPageBreak/>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新細明體"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新細明體" w:cs="Arial"/>
                <w:snapToGrid w:val="0"/>
                <w:sz w:val="20"/>
                <w:szCs w:val="20"/>
                <w:lang w:eastAsia="zh-TW"/>
              </w:rPr>
            </w:pPr>
            <w:r>
              <w:rPr>
                <w:rFonts w:eastAsia="新細明體" w:cs="Arial"/>
                <w:snapToGrid w:val="0"/>
                <w:sz w:val="20"/>
                <w:szCs w:val="20"/>
                <w:lang w:eastAsia="zh-TW"/>
              </w:rPr>
              <w:t>Sony</w:t>
            </w:r>
          </w:p>
        </w:tc>
        <w:tc>
          <w:tcPr>
            <w:tcW w:w="1324" w:type="dxa"/>
          </w:tcPr>
          <w:p w14:paraId="5CF21EE6" w14:textId="10F75BBF" w:rsidR="003352A6" w:rsidRDefault="003352A6" w:rsidP="00F073CC">
            <w:pPr>
              <w:snapToGrid w:val="0"/>
              <w:rPr>
                <w:rFonts w:eastAsia="新細明體" w:cs="Arial"/>
                <w:bCs/>
                <w:iCs/>
                <w:snapToGrid w:val="0"/>
                <w:sz w:val="20"/>
                <w:szCs w:val="20"/>
                <w:lang w:eastAsia="zh-TW"/>
              </w:rPr>
            </w:pPr>
            <w:r>
              <w:rPr>
                <w:rFonts w:eastAsia="新細明體"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新細明體"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新細明體"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In our view, it is simpler to use a model that all DRBs are resumed.  This will make it easier to capture the indication/handling for non-SDT DRBs.  It is also easier to specify in terms of when the security is applied for these DRBs as network has to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SDT procedure and non-SDT would still maintain the legacy </w:t>
            </w:r>
            <w:proofErr w:type="spellStart"/>
            <w:r>
              <w:rPr>
                <w:rFonts w:cs="Arial"/>
                <w:sz w:val="20"/>
                <w:szCs w:val="20"/>
              </w:rPr>
              <w:t>RRCResume</w:t>
            </w:r>
            <w:proofErr w:type="spellEnd"/>
            <w:r>
              <w:rPr>
                <w:rFonts w:cs="Arial"/>
                <w:sz w:val="20"/>
                <w:szCs w:val="20"/>
              </w:rPr>
              <w:t xml:space="preserv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r>
              <w:rPr>
                <w:rFonts w:cs="Arial"/>
                <w:sz w:val="20"/>
                <w:szCs w:val="20"/>
              </w:rPr>
              <w:t xml:space="preserve">RAN2 has already agreed that only SDT DRBs are resumed during SDT procedure, and those SDT DRBs are configured and allowed by network for SDT purpose. Thus, the non-SDT DRBs should not be </w:t>
            </w:r>
            <w:proofErr w:type="spellStart"/>
            <w:r>
              <w:rPr>
                <w:rFonts w:cs="Arial"/>
                <w:sz w:val="20"/>
                <w:szCs w:val="20"/>
              </w:rPr>
              <w:t>resuemed</w:t>
            </w:r>
            <w:proofErr w:type="spellEnd"/>
            <w:r>
              <w:rPr>
                <w:rFonts w:cs="Arial"/>
                <w:sz w:val="20"/>
                <w:szCs w:val="20"/>
              </w:rPr>
              <w:t xml:space="preserve"> until the UE transits to RRC_CONNECTED state.</w:t>
            </w:r>
          </w:p>
        </w:tc>
      </w:tr>
      <w:tr w:rsidR="009E1BD8" w14:paraId="4BF21556" w14:textId="77777777" w:rsidTr="00C52259">
        <w:tc>
          <w:tcPr>
            <w:tcW w:w="1179" w:type="dxa"/>
          </w:tcPr>
          <w:p w14:paraId="749C80C0" w14:textId="2C196D30" w:rsidR="009E1BD8" w:rsidRDefault="009E1BD8" w:rsidP="009E1BD8">
            <w:pPr>
              <w:snapToGrid w:val="0"/>
              <w:rPr>
                <w:rFonts w:cs="Arial"/>
                <w:sz w:val="20"/>
                <w:szCs w:val="20"/>
              </w:rPr>
            </w:pPr>
            <w:r>
              <w:rPr>
                <w:rFonts w:eastAsia="新細明體" w:cs="Arial"/>
                <w:snapToGrid w:val="0"/>
                <w:sz w:val="20"/>
                <w:szCs w:val="20"/>
                <w:lang w:eastAsia="zh-TW"/>
              </w:rPr>
              <w:t>ITRI</w:t>
            </w:r>
          </w:p>
        </w:tc>
        <w:tc>
          <w:tcPr>
            <w:tcW w:w="1324" w:type="dxa"/>
          </w:tcPr>
          <w:p w14:paraId="33043C70" w14:textId="667EA28D" w:rsidR="009E1BD8" w:rsidRDefault="009E1BD8" w:rsidP="009E1BD8">
            <w:pPr>
              <w:snapToGrid w:val="0"/>
              <w:rPr>
                <w:rFonts w:cs="Arial"/>
                <w:sz w:val="20"/>
                <w:szCs w:val="20"/>
              </w:rPr>
            </w:pPr>
            <w:r>
              <w:rPr>
                <w:rFonts w:eastAsia="新細明體" w:cs="Arial"/>
                <w:bCs/>
                <w:iCs/>
                <w:snapToGrid w:val="0"/>
                <w:sz w:val="20"/>
                <w:szCs w:val="20"/>
                <w:lang w:eastAsia="zh-TW"/>
              </w:rPr>
              <w:t>O</w:t>
            </w:r>
            <w:r>
              <w:rPr>
                <w:rFonts w:eastAsia="新細明體" w:cs="Arial" w:hint="eastAsia"/>
                <w:bCs/>
                <w:iCs/>
                <w:snapToGrid w:val="0"/>
                <w:sz w:val="20"/>
                <w:szCs w:val="20"/>
                <w:lang w:eastAsia="zh-TW"/>
              </w:rPr>
              <w:t>p</w:t>
            </w:r>
            <w:r>
              <w:rPr>
                <w:rFonts w:eastAsia="新細明體" w:cs="Arial"/>
                <w:bCs/>
                <w:iCs/>
                <w:snapToGrid w:val="0"/>
                <w:sz w:val="20"/>
                <w:szCs w:val="20"/>
                <w:lang w:eastAsia="zh-TW"/>
              </w:rPr>
              <w:t>tion 2</w:t>
            </w:r>
          </w:p>
        </w:tc>
        <w:tc>
          <w:tcPr>
            <w:tcW w:w="6514" w:type="dxa"/>
          </w:tcPr>
          <w:p w14:paraId="448F63BD" w14:textId="77777777" w:rsidR="009E1BD8" w:rsidRDefault="009E1BD8" w:rsidP="009E1BD8">
            <w:pPr>
              <w:rPr>
                <w:rFonts w:cs="Arial"/>
                <w:sz w:val="20"/>
                <w:szCs w:val="20"/>
              </w:rPr>
            </w:pPr>
          </w:p>
        </w:tc>
      </w:tr>
      <w:tr w:rsidR="00734BFB" w14:paraId="334F99CB" w14:textId="77777777" w:rsidTr="00C52259">
        <w:tc>
          <w:tcPr>
            <w:tcW w:w="1179" w:type="dxa"/>
          </w:tcPr>
          <w:p w14:paraId="326FAEAD" w14:textId="5F3FDAFC" w:rsidR="00734BFB" w:rsidRDefault="00734BFB" w:rsidP="00734BFB">
            <w:pPr>
              <w:snapToGrid w:val="0"/>
              <w:rPr>
                <w:rFonts w:eastAsia="新細明體" w:cs="Arial"/>
                <w:snapToGrid w:val="0"/>
                <w:sz w:val="20"/>
                <w:szCs w:val="20"/>
                <w:lang w:eastAsia="zh-TW"/>
              </w:rPr>
            </w:pPr>
            <w:r>
              <w:rPr>
                <w:rFonts w:eastAsiaTheme="minorEastAsia" w:cs="Arial"/>
                <w:snapToGrid w:val="0"/>
                <w:sz w:val="20"/>
                <w:szCs w:val="20"/>
                <w:lang w:eastAsia="zh-CN"/>
              </w:rPr>
              <w:t>Lenovo</w:t>
            </w:r>
          </w:p>
        </w:tc>
        <w:tc>
          <w:tcPr>
            <w:tcW w:w="1324" w:type="dxa"/>
          </w:tcPr>
          <w:p w14:paraId="018CF13A" w14:textId="2FC0D6CE" w:rsidR="00734BFB" w:rsidRDefault="00734BFB" w:rsidP="00734BFB">
            <w:pPr>
              <w:snapToGrid w:val="0"/>
              <w:rPr>
                <w:rFonts w:eastAsia="新細明體" w:cs="Arial"/>
                <w:bCs/>
                <w:iCs/>
                <w:snapToGrid w:val="0"/>
                <w:sz w:val="20"/>
                <w:szCs w:val="20"/>
                <w:lang w:eastAsia="zh-TW"/>
              </w:rPr>
            </w:pPr>
            <w:r>
              <w:rPr>
                <w:rFonts w:cs="Arial"/>
                <w:bCs/>
                <w:iCs/>
                <w:snapToGrid w:val="0"/>
                <w:sz w:val="20"/>
                <w:szCs w:val="20"/>
              </w:rPr>
              <w:t>Option 1.</w:t>
            </w:r>
          </w:p>
        </w:tc>
        <w:tc>
          <w:tcPr>
            <w:tcW w:w="6514" w:type="dxa"/>
          </w:tcPr>
          <w:p w14:paraId="170EF166" w14:textId="3E37AEC6" w:rsidR="00734BFB" w:rsidRPr="00734BFB" w:rsidRDefault="00734BFB" w:rsidP="00734BFB">
            <w:pPr>
              <w:snapToGrid w:val="0"/>
              <w:rPr>
                <w:rFonts w:eastAsiaTheme="minorEastAsia" w:cs="Arial"/>
                <w:snapToGrid w:val="0"/>
                <w:sz w:val="20"/>
                <w:szCs w:val="20"/>
                <w:lang w:eastAsia="zh-CN"/>
              </w:rPr>
            </w:pPr>
            <w:r>
              <w:rPr>
                <w:rFonts w:cs="Arial"/>
                <w:bCs/>
                <w:iCs/>
                <w:snapToGrid w:val="0"/>
                <w:sz w:val="20"/>
                <w:szCs w:val="20"/>
              </w:rPr>
              <w:t>We think Option 1 would be easier from modelling perspective. We don’t think that there is an issue to define some LCP restriction to ensure only SDT DRBs are multiplexed on SDT resources.</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have similar view as Intel that </w:t>
            </w:r>
            <w:r>
              <w:rPr>
                <w:rFonts w:cs="Arial"/>
                <w:sz w:val="20"/>
                <w:szCs w:val="20"/>
              </w:rPr>
              <w:t>n</w:t>
            </w:r>
            <w:r w:rsidRPr="00B526B5">
              <w:rPr>
                <w:rFonts w:cs="Arial"/>
                <w:sz w:val="20"/>
                <w:szCs w:val="20"/>
              </w:rPr>
              <w:t>ot resuming the non-SDT DRBs will complicate the NAS/AS interaction</w:t>
            </w:r>
            <w:r>
              <w:rPr>
                <w:rFonts w:cs="Arial"/>
                <w:sz w:val="20"/>
                <w:szCs w:val="20"/>
              </w:rPr>
              <w:t>.</w:t>
            </w:r>
          </w:p>
        </w:tc>
      </w:tr>
      <w:tr w:rsidR="00180FE3" w14:paraId="7DC88AEA" w14:textId="77777777" w:rsidTr="00C52259">
        <w:tc>
          <w:tcPr>
            <w:tcW w:w="1179" w:type="dxa"/>
          </w:tcPr>
          <w:p w14:paraId="1E15B681" w14:textId="41CE597C" w:rsidR="00180FE3" w:rsidRDefault="00180FE3" w:rsidP="00180FE3">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1324" w:type="dxa"/>
          </w:tcPr>
          <w:p w14:paraId="42072477" w14:textId="244BB0EE" w:rsidR="00180FE3" w:rsidRDefault="00180FE3" w:rsidP="00180FE3">
            <w:pPr>
              <w:snapToGrid w:val="0"/>
              <w:rPr>
                <w:rFonts w:cs="Arial"/>
                <w:bCs/>
                <w:iCs/>
                <w:snapToGrid w:val="0"/>
                <w:sz w:val="20"/>
                <w:szCs w:val="20"/>
              </w:rPr>
            </w:pPr>
            <w:r>
              <w:rPr>
                <w:rFonts w:eastAsia="新細明體" w:cs="Arial" w:hint="eastAsia"/>
                <w:snapToGrid w:val="0"/>
                <w:sz w:val="20"/>
                <w:szCs w:val="20"/>
                <w:lang w:eastAsia="zh-TW"/>
              </w:rPr>
              <w:t>O</w:t>
            </w:r>
            <w:r>
              <w:rPr>
                <w:rFonts w:eastAsia="新細明體" w:cs="Arial"/>
                <w:snapToGrid w:val="0"/>
                <w:sz w:val="20"/>
                <w:szCs w:val="20"/>
                <w:lang w:eastAsia="zh-TW"/>
              </w:rPr>
              <w:t>ption 2</w:t>
            </w:r>
          </w:p>
        </w:tc>
        <w:tc>
          <w:tcPr>
            <w:tcW w:w="6514" w:type="dxa"/>
          </w:tcPr>
          <w:p w14:paraId="06CF6DDC" w14:textId="77777777" w:rsidR="00180FE3" w:rsidRDefault="00180FE3" w:rsidP="00180FE3">
            <w:pPr>
              <w:snapToGrid w:val="0"/>
              <w:rPr>
                <w:rFonts w:eastAsia="新細明體" w:cs="Arial"/>
                <w:bCs/>
                <w:iCs/>
                <w:snapToGrid w:val="0"/>
                <w:sz w:val="20"/>
                <w:szCs w:val="20"/>
                <w:lang w:eastAsia="zh-TW"/>
              </w:rPr>
            </w:pPr>
            <w:r>
              <w:rPr>
                <w:rFonts w:eastAsia="新細明體" w:cs="Arial"/>
                <w:bCs/>
                <w:iCs/>
                <w:snapToGrid w:val="0"/>
                <w:sz w:val="20"/>
                <w:szCs w:val="20"/>
                <w:lang w:eastAsia="zh-TW"/>
              </w:rPr>
              <w:t xml:space="preserve">It seems that the purpose to resume a non-SDT DRB is to ensure MAC is aware of UL data arrived at the non-SDT DRB. However, this intention would not be needed if MAC can anyway be aware of UL data arrived at suspended DRBs (e.g., by </w:t>
            </w:r>
            <w:r>
              <w:rPr>
                <w:rFonts w:eastAsia="新細明體" w:cs="Arial"/>
                <w:snapToGrid w:val="0"/>
                <w:sz w:val="20"/>
                <w:szCs w:val="20"/>
                <w:lang w:eastAsia="zh-TW"/>
              </w:rPr>
              <w:t>adding description in TS 38.321 in a similar way as TS 36.321)</w:t>
            </w:r>
          </w:p>
          <w:p w14:paraId="5EB64AC4" w14:textId="77777777" w:rsidR="00180FE3" w:rsidRDefault="00180FE3" w:rsidP="00180FE3">
            <w:pPr>
              <w:snapToGrid w:val="0"/>
              <w:rPr>
                <w:rFonts w:eastAsia="新細明體" w:cs="Arial"/>
                <w:bCs/>
                <w:iCs/>
                <w:snapToGrid w:val="0"/>
                <w:sz w:val="20"/>
                <w:szCs w:val="20"/>
                <w:lang w:eastAsia="zh-TW"/>
              </w:rPr>
            </w:pPr>
            <w:r>
              <w:rPr>
                <w:rFonts w:eastAsia="新細明體" w:cs="Arial"/>
                <w:bCs/>
                <w:iCs/>
                <w:snapToGrid w:val="0"/>
                <w:sz w:val="20"/>
                <w:szCs w:val="20"/>
                <w:lang w:eastAsia="zh-TW"/>
              </w:rPr>
              <w:lastRenderedPageBreak/>
              <w:t xml:space="preserve">Moreover, with option 1, extra effort would be required to define mechanisms to avoid </w:t>
            </w:r>
            <w:proofErr w:type="spellStart"/>
            <w:r>
              <w:rPr>
                <w:rFonts w:eastAsia="新細明體" w:cs="Arial"/>
                <w:bCs/>
                <w:iCs/>
                <w:snapToGrid w:val="0"/>
                <w:sz w:val="20"/>
                <w:szCs w:val="20"/>
                <w:lang w:eastAsia="zh-TW"/>
              </w:rPr>
              <w:t>mulxiplexing</w:t>
            </w:r>
            <w:proofErr w:type="spellEnd"/>
            <w:r>
              <w:rPr>
                <w:rFonts w:eastAsia="新細明體" w:cs="Arial"/>
                <w:bCs/>
                <w:iCs/>
                <w:snapToGrid w:val="0"/>
                <w:sz w:val="20"/>
                <w:szCs w:val="20"/>
                <w:lang w:eastAsia="zh-TW"/>
              </w:rPr>
              <w:t xml:space="preserve"> MAC PDU of non-SDT DRBs to an UL data during subsequent SDT transmission phase. </w:t>
            </w:r>
          </w:p>
          <w:p w14:paraId="270ECC83" w14:textId="125F23BD" w:rsidR="00180FE3" w:rsidRDefault="00180FE3" w:rsidP="00180FE3">
            <w:pPr>
              <w:snapToGrid w:val="0"/>
              <w:rPr>
                <w:rFonts w:cs="Arial"/>
                <w:bCs/>
                <w:iCs/>
                <w:snapToGrid w:val="0"/>
                <w:sz w:val="20"/>
                <w:szCs w:val="20"/>
              </w:rPr>
            </w:pPr>
            <w:r>
              <w:rPr>
                <w:rFonts w:eastAsia="新細明體" w:cs="Arial"/>
                <w:bCs/>
                <w:iCs/>
                <w:snapToGrid w:val="0"/>
                <w:sz w:val="20"/>
                <w:szCs w:val="20"/>
                <w:lang w:eastAsia="zh-TW"/>
              </w:rPr>
              <w:t>Hence, option 2 is preferred.</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afa"/>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afa"/>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f4"/>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lastRenderedPageBreak/>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a"/>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a"/>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afa"/>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新細明體" w:cs="Arial" w:hint="eastAsia"/>
                <w:snapToGrid w:val="0"/>
                <w:sz w:val="20"/>
                <w:szCs w:val="20"/>
                <w:lang w:eastAsia="zh-TW"/>
              </w:rPr>
              <w:lastRenderedPageBreak/>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新細明體" w:cs="Arial"/>
                <w:snapToGrid w:val="0"/>
                <w:sz w:val="20"/>
                <w:szCs w:val="20"/>
                <w:lang w:eastAsia="zh-TW"/>
              </w:rPr>
            </w:pPr>
            <w:r>
              <w:rPr>
                <w:rFonts w:eastAsia="新細明體" w:cs="Arial"/>
                <w:snapToGrid w:val="0"/>
                <w:sz w:val="20"/>
                <w:szCs w:val="20"/>
                <w:lang w:eastAsia="zh-TW"/>
              </w:rPr>
              <w:t>Sony</w:t>
            </w:r>
          </w:p>
        </w:tc>
        <w:tc>
          <w:tcPr>
            <w:tcW w:w="1430" w:type="dxa"/>
          </w:tcPr>
          <w:p w14:paraId="75289268" w14:textId="7A28371F" w:rsidR="00A32053" w:rsidRDefault="00A32053" w:rsidP="00F073CC">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新細明體"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新細明體" w:cs="Arial"/>
                <w:snapToGrid w:val="0"/>
                <w:sz w:val="20"/>
                <w:szCs w:val="20"/>
                <w:lang w:eastAsia="zh-TW"/>
              </w:rPr>
            </w:pPr>
            <w:r w:rsidRPr="00B526B5">
              <w:rPr>
                <w:rFonts w:cs="Arial"/>
                <w:snapToGrid w:val="0"/>
                <w:sz w:val="20"/>
                <w:szCs w:val="20"/>
              </w:rPr>
              <w:t>Yes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We would like to understand what is the difference between Option a and b for the options for NAS.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af4"/>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SDT. In legacy releases, it can also happens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 xml:space="preserve">The non-SDT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(non-SDT). Then as we have no new MAC-I one has to use the stored key(s) for protecting the CCCH (RRC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RRC Resume procedure without involving NAS. </w:t>
            </w:r>
          </w:p>
        </w:tc>
      </w:tr>
      <w:tr w:rsidR="009E1BD8" w14:paraId="1F03C415" w14:textId="77777777" w:rsidTr="00671B9D">
        <w:tc>
          <w:tcPr>
            <w:tcW w:w="1187" w:type="dxa"/>
          </w:tcPr>
          <w:p w14:paraId="37A1EE60" w14:textId="08B89327" w:rsidR="009E1BD8" w:rsidRDefault="009E1BD8" w:rsidP="009E1BD8">
            <w:pPr>
              <w:snapToGrid w:val="0"/>
              <w:rPr>
                <w:rFonts w:cs="Arial"/>
                <w:snapToGrid w:val="0"/>
                <w:sz w:val="20"/>
                <w:szCs w:val="20"/>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1430" w:type="dxa"/>
          </w:tcPr>
          <w:p w14:paraId="5A42A347" w14:textId="2BF1F75E" w:rsidR="009E1BD8" w:rsidRDefault="009E1BD8" w:rsidP="009E1BD8">
            <w:pPr>
              <w:snapToGrid w:val="0"/>
              <w:rPr>
                <w:rFonts w:cs="Arial"/>
                <w:sz w:val="20"/>
                <w:szCs w:val="20"/>
                <w:lang w:eastAsia="zh-CN"/>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394" w:type="dxa"/>
          </w:tcPr>
          <w:p w14:paraId="497EC2CB" w14:textId="7CAB8D76" w:rsidR="009E1BD8" w:rsidRDefault="009E1BD8" w:rsidP="009E1BD8">
            <w:pPr>
              <w:rPr>
                <w:rFonts w:cs="Arial"/>
                <w:snapToGrid w:val="0"/>
                <w:sz w:val="20"/>
                <w:szCs w:val="20"/>
              </w:rPr>
            </w:pPr>
            <w:r w:rsidRPr="00D42CA3">
              <w:rPr>
                <w:rFonts w:eastAsiaTheme="minorEastAsia" w:cs="Arial"/>
                <w:snapToGrid w:val="0"/>
                <w:sz w:val="20"/>
                <w:szCs w:val="20"/>
                <w:lang w:eastAsia="zh-CN"/>
              </w:rPr>
              <w:t>Agree with ZTE.</w:t>
            </w:r>
          </w:p>
        </w:tc>
      </w:tr>
      <w:tr w:rsidR="00734BFB" w14:paraId="1AA6F6D4" w14:textId="77777777" w:rsidTr="00671B9D">
        <w:tc>
          <w:tcPr>
            <w:tcW w:w="1187" w:type="dxa"/>
          </w:tcPr>
          <w:p w14:paraId="3872B966" w14:textId="655AA72F" w:rsidR="00734BFB" w:rsidRDefault="00734BFB" w:rsidP="00734BFB">
            <w:pPr>
              <w:snapToGrid w:val="0"/>
              <w:rPr>
                <w:rFonts w:eastAsia="新細明體" w:cs="Arial"/>
                <w:snapToGrid w:val="0"/>
                <w:sz w:val="20"/>
                <w:szCs w:val="20"/>
                <w:lang w:eastAsia="zh-TW"/>
              </w:rPr>
            </w:pPr>
            <w:r>
              <w:rPr>
                <w:rFonts w:eastAsiaTheme="minorEastAsia" w:cs="Arial"/>
                <w:snapToGrid w:val="0"/>
                <w:sz w:val="20"/>
                <w:szCs w:val="20"/>
                <w:lang w:eastAsia="zh-CN"/>
              </w:rPr>
              <w:t>Lenovo</w:t>
            </w:r>
          </w:p>
        </w:tc>
        <w:tc>
          <w:tcPr>
            <w:tcW w:w="1430" w:type="dxa"/>
          </w:tcPr>
          <w:p w14:paraId="243F4B75" w14:textId="61CC9562" w:rsidR="00734BFB" w:rsidRDefault="00734BFB" w:rsidP="00734BFB">
            <w:pPr>
              <w:snapToGrid w:val="0"/>
              <w:rPr>
                <w:rFonts w:eastAsia="新細明體" w:cs="Arial"/>
                <w:snapToGrid w:val="0"/>
                <w:sz w:val="20"/>
                <w:szCs w:val="20"/>
                <w:lang w:eastAsia="zh-TW"/>
              </w:rPr>
            </w:pPr>
            <w:r>
              <w:rPr>
                <w:rFonts w:eastAsiaTheme="minorEastAsia" w:cs="Arial"/>
                <w:snapToGrid w:val="0"/>
                <w:sz w:val="20"/>
                <w:szCs w:val="20"/>
                <w:lang w:eastAsia="zh-CN"/>
              </w:rPr>
              <w:t>Yes</w:t>
            </w:r>
          </w:p>
        </w:tc>
        <w:tc>
          <w:tcPr>
            <w:tcW w:w="6394" w:type="dxa"/>
          </w:tcPr>
          <w:p w14:paraId="2B3E9355" w14:textId="10CE3DEB" w:rsidR="00734BFB" w:rsidRPr="00D42CA3" w:rsidRDefault="00734BFB" w:rsidP="00734BF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Share ZTE’s view. </w:t>
            </w:r>
          </w:p>
        </w:tc>
      </w:tr>
      <w:tr w:rsidR="00843468" w14:paraId="3636FB21" w14:textId="77777777" w:rsidTr="00671B9D">
        <w:tc>
          <w:tcPr>
            <w:tcW w:w="1187" w:type="dxa"/>
          </w:tcPr>
          <w:p w14:paraId="4CD24E7D" w14:textId="5D382BF9" w:rsidR="00843468" w:rsidRDefault="00843468" w:rsidP="00843468">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1430" w:type="dxa"/>
          </w:tcPr>
          <w:p w14:paraId="3B19F00C" w14:textId="4EFBD788" w:rsidR="00843468" w:rsidRDefault="00843468" w:rsidP="00843468">
            <w:pPr>
              <w:snapToGrid w:val="0"/>
              <w:rPr>
                <w:rFonts w:eastAsiaTheme="minorEastAsia" w:cs="Arial"/>
                <w:snapToGrid w:val="0"/>
                <w:sz w:val="20"/>
                <w:szCs w:val="20"/>
                <w:lang w:eastAsia="zh-CN"/>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394" w:type="dxa"/>
          </w:tcPr>
          <w:p w14:paraId="6D1ABFA4" w14:textId="2E886D2D" w:rsidR="00843468" w:rsidRDefault="00843468" w:rsidP="00843468">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gree with ZTE’s view.</w:t>
            </w:r>
          </w:p>
        </w:tc>
      </w:tr>
    </w:tbl>
    <w:p w14:paraId="6E26D7F5"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lastRenderedPageBreak/>
              <w:t>Option 2 requires a new MAC CE, which would result in huge discussion in RAN2,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a"/>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a"/>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a"/>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to  decode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afa"/>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a"/>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a"/>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a"/>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lastRenderedPageBreak/>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MAC CE is used  in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新細明體"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新細明體"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sufficient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We don’t see reliability as a big concern.  Even in the worst case, if the indication is lost completely, the SDT session will be of short duration and UE will re-initiate the Resume procedure for the non-SDT DRB.    This should not be frequent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reliability issue as mentioned by Nokia. Another issue is that the UE will need a uplink grant to send the MAC CE to the network for RA-SDT since the subsequent uplink transmission for RA-SDT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RRC_CONNECTED. In our view, the MAC CE reliability seems not a big issue. There are already lots of MAC CE specified in MAC spec. Even this MAC CE is lost in the rare case, UE could perform to RRC_CONNECTED for the new data </w:t>
            </w:r>
            <w:r w:rsidR="003E2AEB">
              <w:rPr>
                <w:rFonts w:cs="Arial"/>
                <w:sz w:val="20"/>
                <w:szCs w:val="20"/>
              </w:rPr>
              <w:t xml:space="preserve">transfer </w:t>
            </w:r>
            <w:r>
              <w:rPr>
                <w:rFonts w:cs="Arial"/>
                <w:sz w:val="20"/>
                <w:szCs w:val="20"/>
              </w:rPr>
              <w:t>once UE finishes the ongoing SDT procedure.</w:t>
            </w:r>
          </w:p>
        </w:tc>
      </w:tr>
      <w:tr w:rsidR="009E1BD8" w14:paraId="4C33D9EA" w14:textId="77777777" w:rsidTr="0013286C">
        <w:tc>
          <w:tcPr>
            <w:tcW w:w="1187" w:type="dxa"/>
          </w:tcPr>
          <w:p w14:paraId="44421931" w14:textId="51ABABB1" w:rsidR="009E1BD8" w:rsidRDefault="009E1BD8" w:rsidP="009E1BD8">
            <w:pPr>
              <w:snapToGrid w:val="0"/>
              <w:rPr>
                <w:rFonts w:cs="Arial"/>
                <w:snapToGrid w:val="0"/>
                <w:sz w:val="20"/>
                <w:szCs w:val="20"/>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1436" w:type="dxa"/>
          </w:tcPr>
          <w:p w14:paraId="36CD56E6" w14:textId="41E681EA" w:rsidR="009E1BD8" w:rsidRDefault="009E1BD8" w:rsidP="009E1BD8">
            <w:pPr>
              <w:snapToGrid w:val="0"/>
              <w:rPr>
                <w:rFonts w:cs="Arial"/>
                <w:snapToGrid w:val="0"/>
                <w:sz w:val="20"/>
                <w:szCs w:val="20"/>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394" w:type="dxa"/>
          </w:tcPr>
          <w:p w14:paraId="7E8B972F" w14:textId="77777777" w:rsidR="009E1BD8" w:rsidRDefault="009E1BD8" w:rsidP="009E1BD8">
            <w:pPr>
              <w:rPr>
                <w:rFonts w:cs="Arial"/>
                <w:sz w:val="20"/>
                <w:szCs w:val="20"/>
              </w:rPr>
            </w:pPr>
          </w:p>
        </w:tc>
      </w:tr>
      <w:tr w:rsidR="00AD1796" w14:paraId="34240CD3" w14:textId="77777777" w:rsidTr="0013286C">
        <w:tc>
          <w:tcPr>
            <w:tcW w:w="1187" w:type="dxa"/>
          </w:tcPr>
          <w:p w14:paraId="0A30B6C5" w14:textId="338C9F15" w:rsidR="00AD1796" w:rsidRDefault="00AD1796" w:rsidP="00AD1796">
            <w:pPr>
              <w:snapToGrid w:val="0"/>
              <w:rPr>
                <w:rFonts w:eastAsia="新細明體" w:cs="Arial"/>
                <w:snapToGrid w:val="0"/>
                <w:sz w:val="20"/>
                <w:szCs w:val="20"/>
                <w:lang w:eastAsia="zh-TW"/>
              </w:rPr>
            </w:pPr>
            <w:r>
              <w:rPr>
                <w:rFonts w:eastAsiaTheme="minorEastAsia" w:cs="Arial"/>
                <w:snapToGrid w:val="0"/>
                <w:sz w:val="20"/>
                <w:szCs w:val="20"/>
                <w:lang w:eastAsia="zh-CN"/>
              </w:rPr>
              <w:t>Lenovo</w:t>
            </w:r>
          </w:p>
        </w:tc>
        <w:tc>
          <w:tcPr>
            <w:tcW w:w="1436" w:type="dxa"/>
          </w:tcPr>
          <w:p w14:paraId="09E05626" w14:textId="34BFB834" w:rsidR="00AD1796" w:rsidRDefault="00AD1796" w:rsidP="00AD1796">
            <w:pPr>
              <w:snapToGrid w:val="0"/>
              <w:rPr>
                <w:rFonts w:eastAsia="新細明體" w:cs="Arial"/>
                <w:snapToGrid w:val="0"/>
                <w:sz w:val="20"/>
                <w:szCs w:val="20"/>
                <w:lang w:eastAsia="zh-TW"/>
              </w:rPr>
            </w:pPr>
            <w:r w:rsidRPr="00D415BD">
              <w:rPr>
                <w:rFonts w:eastAsiaTheme="minorEastAsia" w:cs="Arial"/>
                <w:snapToGrid w:val="0"/>
                <w:sz w:val="20"/>
                <w:szCs w:val="20"/>
                <w:lang w:eastAsia="zh-CN"/>
              </w:rPr>
              <w:t>Yes</w:t>
            </w:r>
          </w:p>
        </w:tc>
        <w:tc>
          <w:tcPr>
            <w:tcW w:w="6394" w:type="dxa"/>
          </w:tcPr>
          <w:p w14:paraId="7E559437" w14:textId="0B60E27F" w:rsidR="00AD1796" w:rsidRDefault="00AD1796" w:rsidP="00AD1796">
            <w:pPr>
              <w:rPr>
                <w:rFonts w:cs="Arial"/>
                <w:sz w:val="20"/>
                <w:szCs w:val="20"/>
              </w:rPr>
            </w:pPr>
            <w:r>
              <w:rPr>
                <w:rFonts w:cs="Arial"/>
                <w:sz w:val="20"/>
                <w:szCs w:val="20"/>
              </w:rPr>
              <w:t xml:space="preserve">We agree with others that reliability issue seems not a big issue. </w:t>
            </w:r>
          </w:p>
        </w:tc>
      </w:tr>
      <w:tr w:rsidR="004819A9" w14:paraId="2383928A" w14:textId="77777777" w:rsidTr="0013286C">
        <w:tc>
          <w:tcPr>
            <w:tcW w:w="1187" w:type="dxa"/>
          </w:tcPr>
          <w:p w14:paraId="53AFEAE4" w14:textId="18B9F807" w:rsidR="004819A9" w:rsidRDefault="004819A9" w:rsidP="004819A9">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1436" w:type="dxa"/>
          </w:tcPr>
          <w:p w14:paraId="1ED31C53" w14:textId="316CE2CF" w:rsidR="004819A9" w:rsidRPr="00D415BD" w:rsidRDefault="004819A9" w:rsidP="004819A9">
            <w:pPr>
              <w:snapToGrid w:val="0"/>
              <w:rPr>
                <w:rFonts w:eastAsiaTheme="minorEastAsia" w:cs="Arial"/>
                <w:snapToGrid w:val="0"/>
                <w:sz w:val="20"/>
                <w:szCs w:val="20"/>
                <w:lang w:eastAsia="zh-CN"/>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394" w:type="dxa"/>
          </w:tcPr>
          <w:p w14:paraId="23F25A6B" w14:textId="3945F6DE" w:rsidR="004819A9" w:rsidRDefault="004819A9" w:rsidP="004819A9">
            <w:pPr>
              <w:rPr>
                <w:rFonts w:cs="Arial"/>
                <w:sz w:val="20"/>
                <w:szCs w:val="20"/>
              </w:rPr>
            </w:pPr>
            <w:r>
              <w:rPr>
                <w:rFonts w:eastAsia="新細明體" w:cs="Arial" w:hint="eastAsia"/>
                <w:snapToGrid w:val="0"/>
                <w:sz w:val="20"/>
                <w:szCs w:val="20"/>
                <w:lang w:eastAsia="zh-TW"/>
              </w:rPr>
              <w:t>A</w:t>
            </w:r>
            <w:r>
              <w:rPr>
                <w:rFonts w:eastAsia="新細明體" w:cs="Arial"/>
                <w:snapToGrid w:val="0"/>
                <w:sz w:val="20"/>
                <w:szCs w:val="20"/>
                <w:lang w:eastAsia="zh-TW"/>
              </w:rPr>
              <w:t>gree with ZTE’s view.</w:t>
            </w:r>
          </w:p>
        </w:tc>
      </w:tr>
    </w:tbl>
    <w:p w14:paraId="6E2F3660"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lastRenderedPageBreak/>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a"/>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afa"/>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Typically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So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新細明體"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新細明體"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DCCH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LCID. But in order for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w:t>
            </w:r>
            <w:r>
              <w:rPr>
                <w:rFonts w:eastAsiaTheme="minorEastAsia" w:cs="Arial"/>
                <w:snapToGrid w:val="0"/>
                <w:sz w:val="20"/>
                <w:szCs w:val="20"/>
                <w:lang w:eastAsia="zh-CN"/>
              </w:rPr>
              <w:t xml:space="preserve">imilar issue as with MAC CE for the new DCCH message is that the UE needs have </w:t>
            </w:r>
            <w:proofErr w:type="spell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lastRenderedPageBreak/>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r>
              <w:rPr>
                <w:rFonts w:cs="Arial"/>
                <w:sz w:val="20"/>
                <w:szCs w:val="20"/>
              </w:rPr>
              <w:t xml:space="preserve">DCCH solution could be workable. But MAC CE solution is </w:t>
            </w:r>
            <w:r w:rsidRPr="00F331AB">
              <w:rPr>
                <w:rFonts w:cs="Arial"/>
                <w:sz w:val="20"/>
                <w:szCs w:val="20"/>
              </w:rPr>
              <w:t>preferred</w:t>
            </w:r>
            <w:r>
              <w:rPr>
                <w:rFonts w:cs="Arial"/>
                <w:sz w:val="20"/>
                <w:szCs w:val="20"/>
              </w:rPr>
              <w:t xml:space="preserve">. </w:t>
            </w:r>
          </w:p>
        </w:tc>
      </w:tr>
      <w:tr w:rsidR="009E1BD8" w14:paraId="2CBCE333" w14:textId="77777777" w:rsidTr="0013286C">
        <w:tc>
          <w:tcPr>
            <w:tcW w:w="1171" w:type="dxa"/>
          </w:tcPr>
          <w:p w14:paraId="5E7EBA79" w14:textId="0977461A" w:rsidR="009E1BD8" w:rsidRDefault="009E1BD8" w:rsidP="009E1BD8">
            <w:pPr>
              <w:snapToGrid w:val="0"/>
              <w:rPr>
                <w:rFonts w:cs="Arial"/>
                <w:snapToGrid w:val="0"/>
                <w:sz w:val="20"/>
                <w:szCs w:val="20"/>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1417" w:type="dxa"/>
          </w:tcPr>
          <w:p w14:paraId="3EC4A70C" w14:textId="3FC8FD7B" w:rsidR="009E1BD8" w:rsidRDefault="009E1BD8" w:rsidP="009E1BD8">
            <w:pPr>
              <w:snapToGrid w:val="0"/>
              <w:rPr>
                <w:rFonts w:cs="Arial"/>
                <w:snapToGrid w:val="0"/>
                <w:sz w:val="20"/>
                <w:szCs w:val="20"/>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429" w:type="dxa"/>
          </w:tcPr>
          <w:p w14:paraId="19495133" w14:textId="77777777" w:rsidR="009E1BD8" w:rsidRDefault="009E1BD8" w:rsidP="009E1BD8">
            <w:pPr>
              <w:rPr>
                <w:rFonts w:cs="Arial"/>
                <w:sz w:val="20"/>
                <w:szCs w:val="20"/>
              </w:rPr>
            </w:pPr>
          </w:p>
        </w:tc>
      </w:tr>
      <w:tr w:rsidR="00AD1796" w14:paraId="482B4650" w14:textId="77777777" w:rsidTr="0013286C">
        <w:tc>
          <w:tcPr>
            <w:tcW w:w="1171" w:type="dxa"/>
          </w:tcPr>
          <w:p w14:paraId="7C5F3D02" w14:textId="7ABF3A28" w:rsidR="00AD1796" w:rsidRDefault="00AD1796" w:rsidP="00AD1796">
            <w:pPr>
              <w:snapToGrid w:val="0"/>
              <w:rPr>
                <w:rFonts w:eastAsia="新細明體" w:cs="Arial"/>
                <w:snapToGrid w:val="0"/>
                <w:sz w:val="20"/>
                <w:szCs w:val="20"/>
                <w:lang w:eastAsia="zh-TW"/>
              </w:rPr>
            </w:pPr>
            <w:r>
              <w:rPr>
                <w:rFonts w:eastAsiaTheme="minorEastAsia" w:cs="Arial"/>
                <w:snapToGrid w:val="0"/>
                <w:sz w:val="20"/>
                <w:szCs w:val="20"/>
                <w:lang w:eastAsia="zh-CN"/>
              </w:rPr>
              <w:t>Lenovo</w:t>
            </w:r>
          </w:p>
        </w:tc>
        <w:tc>
          <w:tcPr>
            <w:tcW w:w="1417" w:type="dxa"/>
          </w:tcPr>
          <w:p w14:paraId="6CB478EC" w14:textId="152719BA" w:rsidR="00AD1796" w:rsidRDefault="00AD1796" w:rsidP="00AD1796">
            <w:pPr>
              <w:snapToGrid w:val="0"/>
              <w:rPr>
                <w:rFonts w:eastAsia="新細明體" w:cs="Arial"/>
                <w:snapToGrid w:val="0"/>
                <w:sz w:val="20"/>
                <w:szCs w:val="20"/>
                <w:lang w:eastAsia="zh-TW"/>
              </w:rPr>
            </w:pPr>
            <w:r>
              <w:rPr>
                <w:rFonts w:eastAsiaTheme="minorEastAsia" w:cs="Arial"/>
                <w:snapToGrid w:val="0"/>
                <w:sz w:val="20"/>
                <w:szCs w:val="20"/>
                <w:lang w:eastAsia="zh-CN"/>
              </w:rPr>
              <w:t>Yes</w:t>
            </w:r>
          </w:p>
        </w:tc>
        <w:tc>
          <w:tcPr>
            <w:tcW w:w="6429" w:type="dxa"/>
          </w:tcPr>
          <w:p w14:paraId="628FF808" w14:textId="5125E0AA" w:rsidR="00AD1796" w:rsidRDefault="00AD1796" w:rsidP="00AD1796">
            <w:pPr>
              <w:rPr>
                <w:rFonts w:cs="Arial"/>
                <w:sz w:val="20"/>
                <w:szCs w:val="20"/>
              </w:rPr>
            </w:pPr>
          </w:p>
        </w:tc>
      </w:tr>
      <w:tr w:rsidR="00420FAD" w14:paraId="73D44432" w14:textId="77777777" w:rsidTr="0013286C">
        <w:tc>
          <w:tcPr>
            <w:tcW w:w="1171" w:type="dxa"/>
          </w:tcPr>
          <w:p w14:paraId="5B200841" w14:textId="48F941A1" w:rsidR="00420FAD" w:rsidRDefault="00420FAD" w:rsidP="00420FAD">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1417" w:type="dxa"/>
          </w:tcPr>
          <w:p w14:paraId="76E97D47" w14:textId="1D579EAC" w:rsidR="00420FAD" w:rsidRDefault="00420FAD" w:rsidP="00420FAD">
            <w:pPr>
              <w:snapToGrid w:val="0"/>
              <w:rPr>
                <w:rFonts w:eastAsiaTheme="minorEastAsia" w:cs="Arial"/>
                <w:snapToGrid w:val="0"/>
                <w:sz w:val="20"/>
                <w:szCs w:val="20"/>
                <w:lang w:eastAsia="zh-CN"/>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6429" w:type="dxa"/>
          </w:tcPr>
          <w:p w14:paraId="7677FA8F" w14:textId="456EF683" w:rsidR="00420FAD" w:rsidRDefault="00420FAD" w:rsidP="00420FAD">
            <w:pPr>
              <w:rPr>
                <w:rFonts w:cs="Arial"/>
                <w:sz w:val="20"/>
                <w:szCs w:val="20"/>
              </w:rPr>
            </w:pPr>
            <w:r>
              <w:rPr>
                <w:rFonts w:eastAsia="新細明體" w:cs="Arial" w:hint="eastAsia"/>
                <w:snapToGrid w:val="0"/>
                <w:sz w:val="20"/>
                <w:szCs w:val="20"/>
                <w:lang w:eastAsia="zh-TW"/>
              </w:rPr>
              <w:t>Ag</w:t>
            </w:r>
            <w:r>
              <w:rPr>
                <w:rFonts w:eastAsia="新細明體" w:cs="Arial"/>
                <w:snapToGrid w:val="0"/>
                <w:sz w:val="20"/>
                <w:szCs w:val="20"/>
                <w:lang w:eastAsia="zh-TW"/>
              </w:rPr>
              <w:t xml:space="preserve">ree with </w:t>
            </w:r>
            <w:proofErr w:type="spellStart"/>
            <w:r>
              <w:rPr>
                <w:rFonts w:eastAsia="新細明體" w:cs="Arial"/>
                <w:snapToGrid w:val="0"/>
                <w:sz w:val="20"/>
                <w:szCs w:val="20"/>
                <w:lang w:eastAsia="zh-TW"/>
              </w:rPr>
              <w:t>Interdigital’s</w:t>
            </w:r>
            <w:proofErr w:type="spellEnd"/>
            <w:r>
              <w:rPr>
                <w:rFonts w:eastAsia="新細明體" w:cs="Arial"/>
                <w:snapToGrid w:val="0"/>
                <w:sz w:val="20"/>
                <w:szCs w:val="20"/>
                <w:lang w:eastAsia="zh-TW"/>
              </w:rPr>
              <w:t xml:space="preserve"> view.</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lastRenderedPageBreak/>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新細明體"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新細明體" w:cs="Arial"/>
                <w:snapToGrid w:val="0"/>
                <w:sz w:val="20"/>
                <w:szCs w:val="20"/>
                <w:lang w:eastAsia="zh-TW"/>
              </w:rPr>
            </w:pPr>
            <w:r>
              <w:rPr>
                <w:rFonts w:eastAsia="新細明體" w:cs="Arial"/>
                <w:snapToGrid w:val="0"/>
                <w:sz w:val="20"/>
                <w:szCs w:val="20"/>
                <w:lang w:eastAsia="zh-TW"/>
              </w:rPr>
              <w:t>Sony</w:t>
            </w:r>
          </w:p>
        </w:tc>
        <w:tc>
          <w:tcPr>
            <w:tcW w:w="528" w:type="dxa"/>
          </w:tcPr>
          <w:p w14:paraId="4AEDC6EF" w14:textId="1D1701DB" w:rsidR="006B07E0" w:rsidRDefault="00BE7172" w:rsidP="00F073CC">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583" w:type="dxa"/>
          </w:tcPr>
          <w:p w14:paraId="1EF5A88D" w14:textId="51FF1874" w:rsidR="006B07E0" w:rsidRDefault="00BE7172" w:rsidP="00F073CC">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852" w:type="dxa"/>
          </w:tcPr>
          <w:p w14:paraId="514FE803" w14:textId="791DA041" w:rsidR="006B07E0" w:rsidRDefault="00BE7172" w:rsidP="00F073CC">
            <w:pPr>
              <w:snapToGrid w:val="0"/>
              <w:rPr>
                <w:rFonts w:eastAsia="新細明體" w:cs="Arial"/>
                <w:snapToGrid w:val="0"/>
                <w:sz w:val="20"/>
                <w:szCs w:val="20"/>
                <w:lang w:eastAsia="zh-TW"/>
              </w:rPr>
            </w:pPr>
            <w:r>
              <w:rPr>
                <w:rFonts w:eastAsia="新細明體"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新細明體" w:cs="Arial"/>
                <w:snapToGrid w:val="0"/>
                <w:sz w:val="20"/>
                <w:szCs w:val="20"/>
                <w:lang w:eastAsia="zh-TW"/>
              </w:rPr>
            </w:pPr>
            <w:r>
              <w:rPr>
                <w:rFonts w:eastAsia="新細明體" w:cs="Arial"/>
                <w:snapToGrid w:val="0"/>
                <w:sz w:val="20"/>
                <w:szCs w:val="20"/>
                <w:lang w:eastAsia="zh-TW"/>
              </w:rPr>
              <w:t>Intel</w:t>
            </w:r>
          </w:p>
        </w:tc>
        <w:tc>
          <w:tcPr>
            <w:tcW w:w="528" w:type="dxa"/>
          </w:tcPr>
          <w:p w14:paraId="45B9A0CD" w14:textId="3DD5DF24" w:rsidR="00FB2E87" w:rsidRDefault="00FB2E87" w:rsidP="00F073CC">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583" w:type="dxa"/>
          </w:tcPr>
          <w:p w14:paraId="7D5AA485" w14:textId="0321F2A3" w:rsidR="00FB2E87" w:rsidRDefault="00FB2E87" w:rsidP="00F073CC">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852" w:type="dxa"/>
          </w:tcPr>
          <w:p w14:paraId="19669088" w14:textId="5D24822D" w:rsidR="00FB2E87" w:rsidRDefault="00FB2E87" w:rsidP="00F073CC">
            <w:pPr>
              <w:snapToGrid w:val="0"/>
              <w:rPr>
                <w:rFonts w:eastAsia="新細明體" w:cs="Arial"/>
                <w:snapToGrid w:val="0"/>
                <w:sz w:val="20"/>
                <w:szCs w:val="20"/>
                <w:lang w:eastAsia="zh-TW"/>
              </w:rPr>
            </w:pPr>
            <w:r>
              <w:rPr>
                <w:rFonts w:eastAsia="新細明體"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新細明體" w:cs="Arial"/>
                <w:snapToGrid w:val="0"/>
                <w:sz w:val="20"/>
                <w:szCs w:val="20"/>
                <w:lang w:eastAsia="zh-TW"/>
              </w:rPr>
            </w:pPr>
            <w:r>
              <w:rPr>
                <w:rFonts w:cs="Arial"/>
                <w:snapToGrid w:val="0"/>
                <w:sz w:val="20"/>
                <w:szCs w:val="20"/>
              </w:rPr>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新細明體"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新細明體"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新細明體"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p>
        </w:tc>
      </w:tr>
      <w:tr w:rsidR="00424EFE" w14:paraId="52AE2CDB" w14:textId="77777777" w:rsidTr="00424EFE">
        <w:tc>
          <w:tcPr>
            <w:tcW w:w="1166" w:type="dxa"/>
          </w:tcPr>
          <w:p w14:paraId="3A2DBCB6" w14:textId="73DCF1DA" w:rsidR="00424EFE" w:rsidRDefault="00424EFE" w:rsidP="00FB4AD0">
            <w:pPr>
              <w:snapToGrid w:val="0"/>
              <w:rPr>
                <w:rFonts w:eastAsia="新細明體"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FB4AD0">
            <w:pPr>
              <w:snapToGrid w:val="0"/>
              <w:rPr>
                <w:rFonts w:eastAsia="新細明體"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FB4AD0">
            <w:pPr>
              <w:snapToGrid w:val="0"/>
              <w:rPr>
                <w:rFonts w:eastAsia="新細明體"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FB4AD0">
            <w:pPr>
              <w:snapToGrid w:val="0"/>
              <w:rPr>
                <w:rFonts w:eastAsia="新細明體"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新細明體"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snapToGrid w:val="0"/>
                <w:sz w:val="20"/>
                <w:szCs w:val="20"/>
                <w:lang w:eastAsia="zh-CN"/>
              </w:rPr>
            </w:pPr>
            <w:r>
              <w:rPr>
                <w:rFonts w:eastAsia="新細明體"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snapToGrid w:val="0"/>
                <w:sz w:val="20"/>
                <w:szCs w:val="20"/>
                <w:lang w:eastAsia="zh-CN"/>
              </w:rPr>
            </w:pPr>
            <w:r>
              <w:rPr>
                <w:rFonts w:eastAsia="新細明體"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新細明體"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r w:rsidR="009E1BD8" w14:paraId="1C5AFB30" w14:textId="77777777" w:rsidTr="00424EFE">
        <w:tc>
          <w:tcPr>
            <w:tcW w:w="1166" w:type="dxa"/>
          </w:tcPr>
          <w:p w14:paraId="0ADD3ED6" w14:textId="0A9EEB96" w:rsidR="009E1BD8" w:rsidRDefault="009E1BD8" w:rsidP="009E1BD8">
            <w:pPr>
              <w:snapToGrid w:val="0"/>
              <w:rPr>
                <w:rFonts w:eastAsia="新細明體" w:cs="Arial"/>
                <w:snapToGrid w:val="0"/>
                <w:sz w:val="20"/>
                <w:szCs w:val="20"/>
                <w:lang w:eastAsia="zh-TW"/>
              </w:rPr>
            </w:pPr>
            <w:r>
              <w:rPr>
                <w:rFonts w:eastAsiaTheme="minorEastAsia" w:cs="Arial"/>
                <w:snapToGrid w:val="0"/>
                <w:sz w:val="20"/>
                <w:szCs w:val="20"/>
                <w:lang w:eastAsia="zh-CN"/>
              </w:rPr>
              <w:t>ITRI</w:t>
            </w:r>
          </w:p>
        </w:tc>
        <w:tc>
          <w:tcPr>
            <w:tcW w:w="528" w:type="dxa"/>
          </w:tcPr>
          <w:p w14:paraId="64C059FA" w14:textId="0DC08B2C" w:rsidR="009E1BD8" w:rsidRDefault="009E1BD8" w:rsidP="009E1BD8">
            <w:pPr>
              <w:snapToGrid w:val="0"/>
              <w:rPr>
                <w:rFonts w:eastAsia="新細明體" w:cs="Arial"/>
                <w:snapToGrid w:val="0"/>
                <w:sz w:val="20"/>
                <w:szCs w:val="20"/>
                <w:lang w:eastAsia="zh-TW"/>
              </w:rPr>
            </w:pPr>
            <w:r>
              <w:rPr>
                <w:rFonts w:cs="Arial"/>
                <w:snapToGrid w:val="0"/>
                <w:sz w:val="20"/>
                <w:szCs w:val="20"/>
              </w:rPr>
              <w:t>Yes</w:t>
            </w:r>
          </w:p>
        </w:tc>
        <w:tc>
          <w:tcPr>
            <w:tcW w:w="583" w:type="dxa"/>
          </w:tcPr>
          <w:p w14:paraId="4248BB8A" w14:textId="2EA7DADF" w:rsidR="009E1BD8" w:rsidRDefault="009E1BD8" w:rsidP="009E1BD8">
            <w:pPr>
              <w:snapToGrid w:val="0"/>
              <w:rPr>
                <w:rFonts w:eastAsia="新細明體" w:cs="Arial"/>
                <w:snapToGrid w:val="0"/>
                <w:sz w:val="20"/>
                <w:szCs w:val="20"/>
                <w:lang w:eastAsia="zh-TW"/>
              </w:rPr>
            </w:pPr>
            <w:r>
              <w:rPr>
                <w:rFonts w:cs="Arial"/>
                <w:snapToGrid w:val="0"/>
                <w:sz w:val="20"/>
                <w:szCs w:val="20"/>
              </w:rPr>
              <w:t>No</w:t>
            </w:r>
          </w:p>
        </w:tc>
        <w:tc>
          <w:tcPr>
            <w:tcW w:w="852" w:type="dxa"/>
          </w:tcPr>
          <w:p w14:paraId="7B4F704D" w14:textId="78846637" w:rsidR="009E1BD8" w:rsidRDefault="009E1BD8" w:rsidP="009E1BD8">
            <w:pPr>
              <w:snapToGrid w:val="0"/>
              <w:rPr>
                <w:rFonts w:eastAsia="新細明體" w:cs="Arial"/>
                <w:snapToGrid w:val="0"/>
                <w:sz w:val="20"/>
                <w:szCs w:val="20"/>
                <w:lang w:eastAsia="zh-TW"/>
              </w:rPr>
            </w:pPr>
            <w:r>
              <w:rPr>
                <w:rFonts w:cs="Arial"/>
                <w:snapToGrid w:val="0"/>
                <w:sz w:val="20"/>
                <w:szCs w:val="20"/>
              </w:rPr>
              <w:t>Yes</w:t>
            </w:r>
          </w:p>
        </w:tc>
        <w:tc>
          <w:tcPr>
            <w:tcW w:w="5888" w:type="dxa"/>
          </w:tcPr>
          <w:p w14:paraId="31942BA4" w14:textId="0A523795" w:rsidR="009E1BD8" w:rsidRDefault="009E1BD8" w:rsidP="009E1BD8">
            <w:pPr>
              <w:snapToGrid w:val="0"/>
              <w:rPr>
                <w:rFonts w:eastAsiaTheme="minorEastAsia" w:cs="Arial"/>
                <w:snapToGrid w:val="0"/>
                <w:sz w:val="20"/>
                <w:szCs w:val="20"/>
                <w:lang w:eastAsia="zh-CN"/>
              </w:rPr>
            </w:pPr>
            <w:r>
              <w:rPr>
                <w:rFonts w:eastAsia="新細明體" w:cs="Arial" w:hint="eastAsia"/>
                <w:snapToGrid w:val="0"/>
                <w:sz w:val="20"/>
                <w:szCs w:val="20"/>
                <w:lang w:eastAsia="zh-TW"/>
              </w:rPr>
              <w:t>O</w:t>
            </w:r>
            <w:r>
              <w:rPr>
                <w:rFonts w:eastAsia="新細明體" w:cs="Arial"/>
                <w:snapToGrid w:val="0"/>
                <w:sz w:val="20"/>
                <w:szCs w:val="20"/>
                <w:lang w:eastAsia="zh-TW"/>
              </w:rPr>
              <w:t xml:space="preserve">ur first </w:t>
            </w:r>
            <w:r w:rsidRPr="00EC08A2">
              <w:rPr>
                <w:rFonts w:eastAsia="新細明體" w:cs="Arial"/>
                <w:snapToGrid w:val="0"/>
                <w:sz w:val="20"/>
                <w:szCs w:val="20"/>
                <w:lang w:eastAsia="zh-TW"/>
              </w:rPr>
              <w:t xml:space="preserve">preference is Option </w:t>
            </w:r>
            <w:r>
              <w:rPr>
                <w:rFonts w:eastAsia="新細明體" w:cs="Arial"/>
                <w:snapToGrid w:val="0"/>
                <w:sz w:val="20"/>
                <w:szCs w:val="20"/>
                <w:lang w:eastAsia="zh-TW"/>
              </w:rPr>
              <w:t>3</w:t>
            </w:r>
            <w:r w:rsidRPr="00EC08A2">
              <w:rPr>
                <w:rFonts w:eastAsia="新細明體" w:cs="Arial"/>
                <w:snapToGrid w:val="0"/>
                <w:sz w:val="20"/>
                <w:szCs w:val="20"/>
                <w:lang w:eastAsia="zh-TW"/>
              </w:rPr>
              <w:t>.</w:t>
            </w:r>
          </w:p>
        </w:tc>
      </w:tr>
      <w:tr w:rsidR="00AD1796" w14:paraId="73578CCE" w14:textId="77777777" w:rsidTr="00424EFE">
        <w:tc>
          <w:tcPr>
            <w:tcW w:w="1166" w:type="dxa"/>
          </w:tcPr>
          <w:p w14:paraId="645F8B0C" w14:textId="19EFDDC8" w:rsidR="00AD1796" w:rsidRDefault="00AD1796" w:rsidP="009E1BD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528" w:type="dxa"/>
          </w:tcPr>
          <w:p w14:paraId="406639CE" w14:textId="11FCB449" w:rsidR="00AD1796" w:rsidRDefault="00AD1796" w:rsidP="009E1BD8">
            <w:pPr>
              <w:snapToGrid w:val="0"/>
              <w:rPr>
                <w:rFonts w:cs="Arial"/>
                <w:snapToGrid w:val="0"/>
                <w:sz w:val="20"/>
                <w:szCs w:val="20"/>
              </w:rPr>
            </w:pPr>
            <w:r>
              <w:rPr>
                <w:rFonts w:cs="Arial"/>
                <w:snapToGrid w:val="0"/>
                <w:sz w:val="20"/>
                <w:szCs w:val="20"/>
              </w:rPr>
              <w:t>No</w:t>
            </w:r>
          </w:p>
        </w:tc>
        <w:tc>
          <w:tcPr>
            <w:tcW w:w="583" w:type="dxa"/>
          </w:tcPr>
          <w:p w14:paraId="2CC463A3" w14:textId="653E36EE" w:rsidR="00AD1796" w:rsidRDefault="00AD1796" w:rsidP="009E1BD8">
            <w:pPr>
              <w:snapToGrid w:val="0"/>
              <w:rPr>
                <w:rFonts w:cs="Arial"/>
                <w:snapToGrid w:val="0"/>
                <w:sz w:val="20"/>
                <w:szCs w:val="20"/>
              </w:rPr>
            </w:pPr>
            <w:r>
              <w:rPr>
                <w:rFonts w:cs="Arial"/>
                <w:snapToGrid w:val="0"/>
                <w:sz w:val="20"/>
                <w:szCs w:val="20"/>
              </w:rPr>
              <w:t>Yes</w:t>
            </w:r>
          </w:p>
        </w:tc>
        <w:tc>
          <w:tcPr>
            <w:tcW w:w="852" w:type="dxa"/>
          </w:tcPr>
          <w:p w14:paraId="052F28DA" w14:textId="0EC2E0FE" w:rsidR="00AD1796" w:rsidRDefault="00AD1796" w:rsidP="009E1BD8">
            <w:pPr>
              <w:snapToGrid w:val="0"/>
              <w:rPr>
                <w:rFonts w:cs="Arial"/>
                <w:snapToGrid w:val="0"/>
                <w:sz w:val="20"/>
                <w:szCs w:val="20"/>
              </w:rPr>
            </w:pPr>
            <w:r>
              <w:rPr>
                <w:rFonts w:cs="Arial"/>
                <w:snapToGrid w:val="0"/>
                <w:sz w:val="20"/>
                <w:szCs w:val="20"/>
              </w:rPr>
              <w:t>Yes</w:t>
            </w:r>
          </w:p>
        </w:tc>
        <w:tc>
          <w:tcPr>
            <w:tcW w:w="5888" w:type="dxa"/>
          </w:tcPr>
          <w:p w14:paraId="7D3EF55B" w14:textId="2BF734C8" w:rsidR="00AD1796" w:rsidRDefault="00AD1796" w:rsidP="009E1BD8">
            <w:pPr>
              <w:snapToGrid w:val="0"/>
              <w:rPr>
                <w:rFonts w:eastAsia="新細明體" w:cs="Arial"/>
                <w:snapToGrid w:val="0"/>
                <w:sz w:val="20"/>
                <w:szCs w:val="20"/>
                <w:lang w:eastAsia="zh-TW"/>
              </w:rPr>
            </w:pPr>
            <w:r>
              <w:rPr>
                <w:rFonts w:eastAsia="新細明體" w:cs="Arial"/>
                <w:snapToGrid w:val="0"/>
                <w:sz w:val="20"/>
                <w:szCs w:val="20"/>
                <w:lang w:eastAsia="zh-TW"/>
              </w:rPr>
              <w:t xml:space="preserve">Our first preference is Option 2. </w:t>
            </w:r>
          </w:p>
        </w:tc>
      </w:tr>
      <w:tr w:rsidR="005618AA" w14:paraId="7F57F830" w14:textId="77777777" w:rsidTr="00424EFE">
        <w:tc>
          <w:tcPr>
            <w:tcW w:w="1166" w:type="dxa"/>
          </w:tcPr>
          <w:p w14:paraId="33815B25" w14:textId="0A27F78F" w:rsidR="005618AA" w:rsidRDefault="005618AA" w:rsidP="005618AA">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528" w:type="dxa"/>
          </w:tcPr>
          <w:p w14:paraId="049266A6" w14:textId="3A50E1BF" w:rsidR="005618AA" w:rsidRDefault="005618AA" w:rsidP="005618AA">
            <w:pPr>
              <w:snapToGrid w:val="0"/>
              <w:rPr>
                <w:rFonts w:cs="Arial"/>
                <w:snapToGrid w:val="0"/>
                <w:sz w:val="20"/>
                <w:szCs w:val="20"/>
              </w:rPr>
            </w:pPr>
            <w:r>
              <w:rPr>
                <w:rFonts w:eastAsia="新細明體" w:cs="Arial" w:hint="eastAsia"/>
                <w:snapToGrid w:val="0"/>
                <w:sz w:val="20"/>
                <w:szCs w:val="20"/>
                <w:lang w:eastAsia="zh-TW"/>
              </w:rPr>
              <w:t>N</w:t>
            </w:r>
            <w:r>
              <w:rPr>
                <w:rFonts w:eastAsia="新細明體" w:cs="Arial"/>
                <w:snapToGrid w:val="0"/>
                <w:sz w:val="20"/>
                <w:szCs w:val="20"/>
                <w:lang w:eastAsia="zh-TW"/>
              </w:rPr>
              <w:t>o</w:t>
            </w:r>
          </w:p>
        </w:tc>
        <w:tc>
          <w:tcPr>
            <w:tcW w:w="583" w:type="dxa"/>
          </w:tcPr>
          <w:p w14:paraId="7F78975D" w14:textId="4BF12A16" w:rsidR="005618AA" w:rsidRDefault="005618AA" w:rsidP="005618AA">
            <w:pPr>
              <w:snapToGrid w:val="0"/>
              <w:rPr>
                <w:rFonts w:cs="Arial"/>
                <w:snapToGrid w:val="0"/>
                <w:sz w:val="20"/>
                <w:szCs w:val="20"/>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852" w:type="dxa"/>
          </w:tcPr>
          <w:p w14:paraId="5053B94E" w14:textId="7DE875B1" w:rsidR="005618AA" w:rsidRDefault="005618AA" w:rsidP="005618AA">
            <w:pPr>
              <w:snapToGrid w:val="0"/>
              <w:rPr>
                <w:rFonts w:cs="Arial"/>
                <w:snapToGrid w:val="0"/>
                <w:sz w:val="20"/>
                <w:szCs w:val="20"/>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5888" w:type="dxa"/>
          </w:tcPr>
          <w:p w14:paraId="59F7F020" w14:textId="77777777" w:rsidR="005618AA" w:rsidRDefault="005618AA" w:rsidP="005618AA">
            <w:pPr>
              <w:snapToGrid w:val="0"/>
              <w:rPr>
                <w:rFonts w:eastAsia="新細明體" w:cs="Arial"/>
                <w:snapToGrid w:val="0"/>
                <w:sz w:val="20"/>
                <w:szCs w:val="20"/>
                <w:lang w:eastAsia="zh-TW"/>
              </w:rPr>
            </w:pPr>
            <w:r>
              <w:rPr>
                <w:rFonts w:eastAsia="新細明體" w:cs="Arial" w:hint="eastAsia"/>
                <w:snapToGrid w:val="0"/>
                <w:sz w:val="20"/>
                <w:szCs w:val="20"/>
                <w:lang w:eastAsia="zh-TW"/>
              </w:rPr>
              <w:t>O</w:t>
            </w:r>
            <w:r>
              <w:rPr>
                <w:rFonts w:eastAsia="新細明體" w:cs="Arial"/>
                <w:snapToGrid w:val="0"/>
                <w:sz w:val="20"/>
                <w:szCs w:val="20"/>
                <w:lang w:eastAsia="zh-TW"/>
              </w:rPr>
              <w:t>ption 1 is not supported.</w:t>
            </w:r>
          </w:p>
          <w:p w14:paraId="36F8BC2E" w14:textId="17C3D9F6" w:rsidR="005618AA" w:rsidRDefault="005618AA" w:rsidP="005618AA">
            <w:pPr>
              <w:snapToGrid w:val="0"/>
              <w:rPr>
                <w:rFonts w:eastAsia="新細明體" w:cs="Arial"/>
                <w:snapToGrid w:val="0"/>
                <w:sz w:val="20"/>
                <w:szCs w:val="20"/>
                <w:lang w:eastAsia="zh-TW"/>
              </w:rPr>
            </w:pPr>
            <w:r>
              <w:rPr>
                <w:rFonts w:eastAsia="新細明體" w:cs="Arial" w:hint="eastAsia"/>
                <w:snapToGrid w:val="0"/>
                <w:sz w:val="20"/>
                <w:szCs w:val="20"/>
                <w:lang w:eastAsia="zh-TW"/>
              </w:rPr>
              <w:t>W</w:t>
            </w:r>
            <w:r>
              <w:rPr>
                <w:rFonts w:eastAsia="新細明體" w:cs="Arial"/>
                <w:snapToGrid w:val="0"/>
                <w:sz w:val="20"/>
                <w:szCs w:val="20"/>
                <w:lang w:eastAsia="zh-TW"/>
              </w:rPr>
              <w:t>e prefer option 2 more than option 3.</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f4"/>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supported </w:t>
            </w:r>
            <w:r>
              <w:rPr>
                <w:rFonts w:cs="Arial"/>
                <w:snapToGrid w:val="0"/>
                <w:sz w:val="20"/>
                <w:szCs w:val="20"/>
              </w:rPr>
              <w:lastRenderedPageBreak/>
              <w:t>for split bearer, because split bearer is typically used for high-throughput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a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a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新細明體"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新細明體"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Sony</w:t>
            </w:r>
          </w:p>
        </w:tc>
        <w:tc>
          <w:tcPr>
            <w:tcW w:w="528" w:type="dxa"/>
          </w:tcPr>
          <w:p w14:paraId="59CE692E" w14:textId="124DDCC7" w:rsidR="00A47C01"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505" w:type="dxa"/>
          </w:tcPr>
          <w:p w14:paraId="5EA5DF21" w14:textId="3F44D1BD" w:rsidR="00A47C01"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新細明體" w:cs="Arial"/>
                <w:snapToGrid w:val="0"/>
                <w:sz w:val="20"/>
                <w:szCs w:val="20"/>
                <w:lang w:eastAsia="zh-TW"/>
              </w:rPr>
            </w:pPr>
            <w:r>
              <w:rPr>
                <w:rFonts w:eastAsia="新細明體"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FB4AD0">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新細明體"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r w:rsidR="009E1BD8" w14:paraId="5FC0DE16" w14:textId="77777777" w:rsidTr="00424EFE">
        <w:tc>
          <w:tcPr>
            <w:tcW w:w="1150" w:type="dxa"/>
          </w:tcPr>
          <w:p w14:paraId="317FC7F4" w14:textId="2878D506" w:rsidR="009E1BD8" w:rsidRDefault="009E1BD8" w:rsidP="009E1BD8">
            <w:pPr>
              <w:snapToGrid w:val="0"/>
              <w:rPr>
                <w:rFonts w:eastAsia="新細明體" w:cs="Arial"/>
                <w:snapToGrid w:val="0"/>
                <w:sz w:val="20"/>
                <w:szCs w:val="20"/>
                <w:lang w:eastAsia="zh-TW"/>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528" w:type="dxa"/>
          </w:tcPr>
          <w:p w14:paraId="0E269EDB" w14:textId="3E9117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7AA8E869" w14:textId="5F425EC8"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3CE8EE78" w14:textId="103B0C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4F1141D7" w14:textId="445E4F26"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17C38C" w14:textId="710F4649"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EB5C805" w14:textId="7208446B"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1EC752D1" w14:textId="77777777" w:rsidR="009E1BD8" w:rsidRPr="00B4771D" w:rsidRDefault="009E1BD8" w:rsidP="009E1BD8">
            <w:pPr>
              <w:snapToGrid w:val="0"/>
              <w:rPr>
                <w:rFonts w:eastAsiaTheme="minorEastAsia" w:cs="Arial"/>
                <w:snapToGrid w:val="0"/>
                <w:sz w:val="20"/>
                <w:szCs w:val="20"/>
                <w:lang w:eastAsia="zh-CN"/>
              </w:rPr>
            </w:pPr>
          </w:p>
        </w:tc>
      </w:tr>
      <w:tr w:rsidR="00AD1796" w14:paraId="0E4CFFF4" w14:textId="77777777" w:rsidTr="00424EFE">
        <w:tc>
          <w:tcPr>
            <w:tcW w:w="1150" w:type="dxa"/>
          </w:tcPr>
          <w:p w14:paraId="27953A68" w14:textId="65FA4548" w:rsidR="00AD1796" w:rsidRDefault="00AD1796" w:rsidP="00AD1796">
            <w:pPr>
              <w:snapToGrid w:val="0"/>
              <w:rPr>
                <w:rFonts w:eastAsia="新細明體" w:cs="Arial"/>
                <w:snapToGrid w:val="0"/>
                <w:sz w:val="20"/>
                <w:szCs w:val="20"/>
                <w:lang w:eastAsia="zh-TW"/>
              </w:rPr>
            </w:pPr>
            <w:r>
              <w:rPr>
                <w:rFonts w:eastAsiaTheme="minorEastAsia" w:cs="Arial"/>
                <w:snapToGrid w:val="0"/>
                <w:sz w:val="20"/>
                <w:szCs w:val="20"/>
                <w:lang w:eastAsia="zh-CN"/>
              </w:rPr>
              <w:t>Lenovo</w:t>
            </w:r>
          </w:p>
        </w:tc>
        <w:tc>
          <w:tcPr>
            <w:tcW w:w="528" w:type="dxa"/>
          </w:tcPr>
          <w:p w14:paraId="22EE7EDA" w14:textId="4D40B96A" w:rsidR="00AD1796" w:rsidRDefault="00AD1796" w:rsidP="00AD1796">
            <w:pPr>
              <w:snapToGrid w:val="0"/>
              <w:rPr>
                <w:rFonts w:cs="Arial"/>
                <w:snapToGrid w:val="0"/>
                <w:sz w:val="20"/>
                <w:szCs w:val="20"/>
              </w:rPr>
            </w:pPr>
            <w:r>
              <w:rPr>
                <w:rFonts w:cs="Arial"/>
                <w:snapToGrid w:val="0"/>
                <w:sz w:val="20"/>
                <w:szCs w:val="20"/>
              </w:rPr>
              <w:t>Yes</w:t>
            </w:r>
          </w:p>
        </w:tc>
        <w:tc>
          <w:tcPr>
            <w:tcW w:w="505" w:type="dxa"/>
          </w:tcPr>
          <w:p w14:paraId="3285359B" w14:textId="471604AE"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3B664EEE" w14:textId="32BE53A4"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5EEECF36" w14:textId="4A9B788B"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0A9020CA" w14:textId="496C4EA7"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56469483" w14:textId="5B12348F" w:rsidR="00AD1796" w:rsidRDefault="00AD1796" w:rsidP="00AD1796">
            <w:pPr>
              <w:snapToGrid w:val="0"/>
              <w:rPr>
                <w:rFonts w:cs="Arial"/>
                <w:snapToGrid w:val="0"/>
                <w:sz w:val="20"/>
                <w:szCs w:val="20"/>
              </w:rPr>
            </w:pPr>
            <w:r>
              <w:rPr>
                <w:rFonts w:cs="Arial"/>
                <w:snapToGrid w:val="0"/>
                <w:sz w:val="20"/>
                <w:szCs w:val="20"/>
              </w:rPr>
              <w:t>No</w:t>
            </w:r>
          </w:p>
        </w:tc>
        <w:tc>
          <w:tcPr>
            <w:tcW w:w="4856" w:type="dxa"/>
          </w:tcPr>
          <w:p w14:paraId="6CBC4918" w14:textId="77777777" w:rsidR="00AD1796" w:rsidRPr="00B4771D" w:rsidRDefault="00AD1796" w:rsidP="00AD1796">
            <w:pPr>
              <w:snapToGrid w:val="0"/>
              <w:rPr>
                <w:rFonts w:eastAsiaTheme="minorEastAsia" w:cs="Arial"/>
                <w:snapToGrid w:val="0"/>
                <w:sz w:val="20"/>
                <w:szCs w:val="20"/>
                <w:lang w:eastAsia="zh-CN"/>
              </w:rPr>
            </w:pPr>
          </w:p>
        </w:tc>
      </w:tr>
      <w:tr w:rsidR="00BC1E3E" w14:paraId="3F27CBA4" w14:textId="77777777" w:rsidTr="00424EFE">
        <w:tc>
          <w:tcPr>
            <w:tcW w:w="1150" w:type="dxa"/>
          </w:tcPr>
          <w:p w14:paraId="2822DBFC" w14:textId="57DC8715" w:rsidR="00BC1E3E" w:rsidRDefault="00BC1E3E" w:rsidP="00BC1E3E">
            <w:pPr>
              <w:snapToGrid w:val="0"/>
              <w:rPr>
                <w:rFonts w:eastAsiaTheme="minorEastAsia" w:cs="Arial"/>
                <w:snapToGrid w:val="0"/>
                <w:sz w:val="20"/>
                <w:szCs w:val="20"/>
                <w:lang w:eastAsia="zh-CN"/>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528" w:type="dxa"/>
          </w:tcPr>
          <w:p w14:paraId="5C5E0B57" w14:textId="423727EA" w:rsidR="00BC1E3E" w:rsidRDefault="00BC1E3E" w:rsidP="00BC1E3E">
            <w:pPr>
              <w:snapToGrid w:val="0"/>
              <w:rPr>
                <w:rFonts w:cs="Arial"/>
                <w:snapToGrid w:val="0"/>
                <w:sz w:val="20"/>
                <w:szCs w:val="20"/>
              </w:rPr>
            </w:pPr>
            <w:r>
              <w:rPr>
                <w:rFonts w:eastAsia="新細明體" w:cs="Arial" w:hint="eastAsia"/>
                <w:snapToGrid w:val="0"/>
                <w:sz w:val="20"/>
                <w:szCs w:val="20"/>
                <w:lang w:eastAsia="zh-TW"/>
              </w:rPr>
              <w:t>Y</w:t>
            </w:r>
            <w:r>
              <w:rPr>
                <w:rFonts w:eastAsia="新細明體" w:cs="Arial"/>
                <w:snapToGrid w:val="0"/>
                <w:sz w:val="20"/>
                <w:szCs w:val="20"/>
                <w:lang w:eastAsia="zh-TW"/>
              </w:rPr>
              <w:t>es</w:t>
            </w:r>
          </w:p>
        </w:tc>
        <w:tc>
          <w:tcPr>
            <w:tcW w:w="505" w:type="dxa"/>
          </w:tcPr>
          <w:p w14:paraId="1EE5FCAC" w14:textId="59031C70"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781B13D2" w14:textId="6766EC1F"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41D4481D" w14:textId="727D4FA1"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07DF5EE0" w14:textId="4C64C2AE"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1F475ECA" w14:textId="508D7C54" w:rsidR="00BC1E3E" w:rsidRDefault="00BC1E3E" w:rsidP="00BC1E3E">
            <w:pPr>
              <w:snapToGrid w:val="0"/>
              <w:rPr>
                <w:rFonts w:cs="Arial"/>
                <w:snapToGrid w:val="0"/>
                <w:sz w:val="20"/>
                <w:szCs w:val="20"/>
              </w:rPr>
            </w:pPr>
            <w:r>
              <w:rPr>
                <w:rFonts w:cs="Arial" w:hint="eastAsia"/>
                <w:snapToGrid w:val="0"/>
                <w:sz w:val="20"/>
                <w:szCs w:val="20"/>
              </w:rPr>
              <w:t>No</w:t>
            </w:r>
          </w:p>
        </w:tc>
        <w:tc>
          <w:tcPr>
            <w:tcW w:w="4856" w:type="dxa"/>
          </w:tcPr>
          <w:p w14:paraId="100C33B1" w14:textId="77777777" w:rsidR="00BC1E3E" w:rsidRPr="00B4771D" w:rsidRDefault="00BC1E3E" w:rsidP="00BC1E3E">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a"/>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lastRenderedPageBreak/>
        <w:t>References</w:t>
      </w:r>
    </w:p>
    <w:p w14:paraId="44635644" w14:textId="77777777" w:rsidR="00650F16" w:rsidRDefault="00FC00DF">
      <w:pPr>
        <w:pStyle w:val="afa"/>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afa"/>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f4"/>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6B5640"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hyperlink r:id="rId12" w:history="1">
              <w:r w:rsidRPr="00121CE2">
                <w:rPr>
                  <w:rStyle w:val="af7"/>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734BFB"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121CE2" w:rsidRDefault="00FC00DF" w:rsidP="00355CFD">
            <w:pPr>
              <w:jc w:val="left"/>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3" w:history="1">
              <w:r w:rsidRPr="00121CE2">
                <w:rPr>
                  <w:rStyle w:val="af7"/>
                  <w:lang w:val="fr-FR" w:eastAsia="en-GB"/>
                </w:rPr>
                <w:t>Jussi-pekka.koskinen@nokia.com</w:t>
              </w:r>
            </w:hyperlink>
            <w:r w:rsidRPr="00121CE2">
              <w:rPr>
                <w:lang w:val="fr-FR" w:eastAsia="en-GB"/>
              </w:rPr>
              <w:t>)</w:t>
            </w:r>
          </w:p>
        </w:tc>
        <w:tc>
          <w:tcPr>
            <w:tcW w:w="1667" w:type="pct"/>
          </w:tcPr>
          <w:p w14:paraId="3CB1F651" w14:textId="77777777" w:rsidR="00650F16" w:rsidRPr="00121CE2" w:rsidRDefault="00BC1E3E">
            <w:pPr>
              <w:rPr>
                <w:lang w:val="fr-FR"/>
              </w:rPr>
            </w:pPr>
            <w:hyperlink r:id="rId14" w:history="1">
              <w:r w:rsidR="00FC00DF" w:rsidRPr="00121CE2">
                <w:rPr>
                  <w:rStyle w:val="af7"/>
                  <w:lang w:val="fr-FR" w:eastAsia="en-GB"/>
                </w:rPr>
                <w:t>Jussi-pekka.koskinen@nokia.com</w:t>
              </w:r>
            </w:hyperlink>
          </w:p>
        </w:tc>
      </w:tr>
      <w:tr w:rsidR="00650F16" w:rsidRPr="00CC54C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Anil Agiwal (</w:t>
            </w:r>
            <w:hyperlink r:id="rId15" w:history="1">
              <w:r w:rsidRPr="00CC54C9">
                <w:rPr>
                  <w:rStyle w:val="af7"/>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6B5640"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6" w:history="1">
              <w:r w:rsidR="00A12880" w:rsidRPr="00121CE2">
                <w:rPr>
                  <w:rStyle w:val="af7"/>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796E74">
              <w:fldChar w:fldCharType="begin"/>
            </w:r>
            <w:r w:rsidR="00796E74">
              <w:instrText xml:space="preserve"> HYPERLINK "mailto:faris.alfarhan@interdigital.com" </w:instrText>
            </w:r>
            <w:r w:rsidR="00796E74">
              <w:fldChar w:fldCharType="separate"/>
            </w:r>
            <w:r w:rsidRPr="00E0739A">
              <w:rPr>
                <w:rStyle w:val="af7"/>
                <w:rFonts w:eastAsiaTheme="minorEastAsia"/>
                <w:lang w:val="sv-SE" w:eastAsia="zh-CN"/>
              </w:rPr>
              <w:t>faris.alfarhan@interdigital.com</w:t>
            </w:r>
            <w:r w:rsidR="00796E74">
              <w:rPr>
                <w:rStyle w:val="af7"/>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734BFB"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796E74">
              <w:fldChar w:fldCharType="begin"/>
            </w:r>
            <w:r w:rsidR="00796E74" w:rsidRPr="00734BFB">
              <w:rPr>
                <w:lang w:val="de-DE"/>
              </w:rPr>
              <w:instrText xml:space="preserve"> HYPERLINK "mailto:kimjh@etri.re.kr" </w:instrText>
            </w:r>
            <w:r w:rsidR="00796E74">
              <w:fldChar w:fldCharType="separate"/>
            </w:r>
            <w:r w:rsidRPr="00E0739A">
              <w:rPr>
                <w:rStyle w:val="af7"/>
                <w:rFonts w:eastAsia="Malgun Gothic"/>
                <w:lang w:val="sv-SE"/>
              </w:rPr>
              <w:t>kimjh@etri.re.kr</w:t>
            </w:r>
            <w:r w:rsidR="00796E74">
              <w:rPr>
                <w:rStyle w:val="af7"/>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68A7E4D5"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r w:rsidRPr="00E0739A">
              <w:rPr>
                <w:rStyle w:val="af7"/>
                <w:rFonts w:eastAsia="Malgun Gothic"/>
                <w:lang w:val="sv-SE"/>
              </w:rPr>
              <w:t>Lifeng.Han@unisoc.com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734BFB"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734BFB" w:rsidRDefault="00760EB8" w:rsidP="00355CFD">
            <w:pPr>
              <w:jc w:val="left"/>
              <w:rPr>
                <w:rFonts w:eastAsiaTheme="minorEastAsia"/>
                <w:lang w:val="de-DE" w:eastAsia="zh-CN"/>
              </w:rPr>
            </w:pPr>
            <w:r w:rsidRPr="00734BFB">
              <w:rPr>
                <w:rFonts w:eastAsiaTheme="minorEastAsia" w:hint="eastAsia"/>
                <w:lang w:val="de-DE" w:eastAsia="zh-CN"/>
              </w:rPr>
              <w:t>W</w:t>
            </w:r>
            <w:r w:rsidRPr="00734BFB">
              <w:rPr>
                <w:rFonts w:eastAsiaTheme="minorEastAsia"/>
                <w:lang w:val="de-DE" w:eastAsia="zh-CN"/>
              </w:rPr>
              <w:t>angda (</w:t>
            </w:r>
            <w:r w:rsidR="00796E74">
              <w:fldChar w:fldCharType="begin"/>
            </w:r>
            <w:r w:rsidR="00796E74" w:rsidRPr="00734BFB">
              <w:rPr>
                <w:lang w:val="de-DE"/>
              </w:rPr>
              <w:instrText xml:space="preserve"> HYPERLINK "mailto:wang_da@nec.cn" </w:instrText>
            </w:r>
            <w:r w:rsidR="00796E74">
              <w:fldChar w:fldCharType="separate"/>
            </w:r>
            <w:r w:rsidRPr="00734BFB">
              <w:rPr>
                <w:rStyle w:val="af7"/>
                <w:rFonts w:eastAsiaTheme="minorEastAsia"/>
                <w:lang w:val="de-DE" w:eastAsia="zh-CN"/>
              </w:rPr>
              <w:t>wang_da@nec.cn</w:t>
            </w:r>
            <w:r w:rsidR="00796E74">
              <w:rPr>
                <w:rStyle w:val="af7"/>
                <w:rFonts w:eastAsiaTheme="minorEastAsia"/>
                <w:lang w:eastAsia="zh-CN"/>
              </w:rPr>
              <w:fldChar w:fldCharType="end"/>
            </w:r>
            <w:r w:rsidRPr="00734BFB">
              <w:rPr>
                <w:rFonts w:eastAsiaTheme="minorEastAsia"/>
                <w:lang w:val="de-DE" w:eastAsia="zh-CN"/>
              </w:rPr>
              <w:t xml:space="preserve"> )</w:t>
            </w:r>
          </w:p>
        </w:tc>
        <w:tc>
          <w:tcPr>
            <w:tcW w:w="1667" w:type="pct"/>
          </w:tcPr>
          <w:p w14:paraId="35AA3DCE" w14:textId="77777777" w:rsidR="00650F16" w:rsidRPr="00734BFB" w:rsidRDefault="00650F16">
            <w:pPr>
              <w:rPr>
                <w:rFonts w:eastAsiaTheme="minorEastAsia"/>
                <w:lang w:val="de-DE" w:eastAsia="zh-CN"/>
              </w:rPr>
            </w:pPr>
          </w:p>
        </w:tc>
      </w:tr>
      <w:tr w:rsidR="00EB5DDC" w:rsidRPr="00734BFB"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新細明體" w:hint="eastAsia"/>
                <w:lang w:eastAsia="zh-TW"/>
              </w:rPr>
              <w:t>A</w:t>
            </w:r>
            <w:r>
              <w:rPr>
                <w:rFonts w:eastAsia="新細明體"/>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新細明體" w:hint="eastAsia"/>
                <w:lang w:val="sv-SE" w:eastAsia="zh-TW"/>
              </w:rPr>
              <w:t>TunHuai Shih (</w:t>
            </w:r>
            <w:hyperlink r:id="rId17" w:history="1">
              <w:r w:rsidRPr="00E0739A">
                <w:rPr>
                  <w:rStyle w:val="af7"/>
                  <w:rFonts w:eastAsia="新細明體"/>
                  <w:lang w:val="sv-SE" w:eastAsia="zh-TW"/>
                </w:rPr>
                <w:t>Tunhuai_Shih@asus.com</w:t>
              </w:r>
            </w:hyperlink>
            <w:r w:rsidRPr="00E0739A">
              <w:rPr>
                <w:rFonts w:eastAsia="新細明體"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60B7F0A8" w:rsidR="00650F16" w:rsidRPr="00E0739A" w:rsidRDefault="001F7B50" w:rsidP="00355CFD">
            <w:pPr>
              <w:jc w:val="left"/>
              <w:rPr>
                <w:rFonts w:eastAsia="新細明體"/>
                <w:lang w:val="sv-SE" w:eastAsia="zh-TW"/>
              </w:rPr>
            </w:pPr>
            <w:r>
              <w:rPr>
                <w:rFonts w:eastAsia="新細明體"/>
                <w:lang w:val="sv-SE" w:eastAsia="zh-TW"/>
              </w:rPr>
              <w:t>Anders.Berggren@sony.com</w:t>
            </w:r>
          </w:p>
        </w:tc>
        <w:tc>
          <w:tcPr>
            <w:tcW w:w="1667" w:type="pct"/>
          </w:tcPr>
          <w:p w14:paraId="238714D5" w14:textId="77777777" w:rsidR="00650F16" w:rsidRPr="00E0739A" w:rsidRDefault="00650F16">
            <w:pPr>
              <w:rPr>
                <w:rFonts w:eastAsia="新細明體"/>
                <w:lang w:val="sv-SE" w:eastAsia="zh-TW"/>
              </w:rPr>
            </w:pPr>
          </w:p>
        </w:tc>
      </w:tr>
      <w:tr w:rsidR="00650F16" w:rsidRPr="00734BFB"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新細明體"/>
                <w:lang w:val="sv-SE" w:eastAsia="zh-TW"/>
              </w:rPr>
            </w:pPr>
            <w:r>
              <w:rPr>
                <w:rFonts w:eastAsia="新細明體"/>
                <w:lang w:val="sv-SE" w:eastAsia="zh-TW"/>
              </w:rPr>
              <w:t>Marta Martinez Tarradell</w:t>
            </w:r>
          </w:p>
        </w:tc>
        <w:tc>
          <w:tcPr>
            <w:tcW w:w="1667" w:type="pct"/>
          </w:tcPr>
          <w:p w14:paraId="25AA2E86" w14:textId="172B44B6" w:rsidR="00650F16" w:rsidRPr="00E0739A" w:rsidRDefault="00355CFD">
            <w:pPr>
              <w:rPr>
                <w:rFonts w:eastAsia="新細明體"/>
                <w:lang w:val="sv-SE" w:eastAsia="zh-TW"/>
              </w:rPr>
            </w:pPr>
            <w:r>
              <w:rPr>
                <w:rFonts w:eastAsia="新細明體"/>
                <w:lang w:val="sv-SE" w:eastAsia="zh-TW"/>
              </w:rPr>
              <w:t>marta.m.tarradell@intel.com</w:t>
            </w:r>
          </w:p>
        </w:tc>
      </w:tr>
      <w:tr w:rsidR="00650F16" w:rsidRPr="006B5640"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6B5640"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7F0E48" w:rsidRPr="006B5640" w14:paraId="635A4541" w14:textId="77777777" w:rsidTr="00355CFD">
        <w:tc>
          <w:tcPr>
            <w:tcW w:w="847" w:type="pct"/>
          </w:tcPr>
          <w:p w14:paraId="760F748F" w14:textId="174155FE" w:rsidR="007F0E48" w:rsidRDefault="007F0E48">
            <w:pPr>
              <w:rPr>
                <w:rFonts w:eastAsiaTheme="minorEastAsia"/>
                <w:lang w:val="sv-SE" w:eastAsia="zh-CN"/>
              </w:rPr>
            </w:pPr>
            <w:r>
              <w:rPr>
                <w:rFonts w:eastAsiaTheme="minorEastAsia"/>
                <w:lang w:val="sv-SE" w:eastAsia="zh-CN"/>
              </w:rPr>
              <w:t>ITRI</w:t>
            </w:r>
          </w:p>
        </w:tc>
        <w:tc>
          <w:tcPr>
            <w:tcW w:w="2486" w:type="pct"/>
          </w:tcPr>
          <w:p w14:paraId="49F77621" w14:textId="44D221E9" w:rsidR="007F0E48" w:rsidRPr="007F0E48" w:rsidRDefault="007F0E48">
            <w:pPr>
              <w:rPr>
                <w:rFonts w:eastAsia="新細明體"/>
                <w:lang w:val="sv-SE" w:eastAsia="zh-TW"/>
              </w:rPr>
            </w:pPr>
            <w:r>
              <w:rPr>
                <w:rFonts w:eastAsiaTheme="minorEastAsia"/>
                <w:lang w:val="sv-SE" w:eastAsia="zh-CN"/>
              </w:rPr>
              <w:t>L</w:t>
            </w:r>
            <w:r>
              <w:rPr>
                <w:rFonts w:eastAsia="新細明體" w:hint="eastAsia"/>
                <w:lang w:val="sv-SE" w:eastAsia="zh-TW"/>
              </w:rPr>
              <w:t>i</w:t>
            </w:r>
            <w:r>
              <w:rPr>
                <w:rFonts w:eastAsia="新細明體"/>
                <w:lang w:val="sv-SE" w:eastAsia="zh-TW"/>
              </w:rPr>
              <w:t>n, Jung-Mao</w:t>
            </w:r>
          </w:p>
        </w:tc>
        <w:tc>
          <w:tcPr>
            <w:tcW w:w="1667" w:type="pct"/>
          </w:tcPr>
          <w:p w14:paraId="357BA449" w14:textId="69F9957F" w:rsidR="007F0E48" w:rsidRPr="007F0E48" w:rsidRDefault="007F0E48">
            <w:pPr>
              <w:rPr>
                <w:rFonts w:eastAsia="新細明體"/>
                <w:lang w:val="sv-SE" w:eastAsia="zh-TW"/>
              </w:rPr>
            </w:pPr>
            <w:r>
              <w:rPr>
                <w:rFonts w:eastAsia="新細明體"/>
                <w:lang w:val="sv-SE" w:eastAsia="zh-TW"/>
              </w:rPr>
              <w:t>moumou3@itri.org.tw</w:t>
            </w:r>
          </w:p>
        </w:tc>
      </w:tr>
      <w:tr w:rsidR="00650F16" w:rsidRPr="006B5640" w14:paraId="1AE27DEB" w14:textId="77777777" w:rsidTr="00355CFD">
        <w:tc>
          <w:tcPr>
            <w:tcW w:w="847" w:type="pct"/>
          </w:tcPr>
          <w:p w14:paraId="688A9F83" w14:textId="396AAD2A" w:rsidR="00650F16" w:rsidRPr="00E0739A" w:rsidRDefault="00AD1796">
            <w:pPr>
              <w:rPr>
                <w:rFonts w:eastAsiaTheme="minorEastAsia"/>
                <w:lang w:val="sv-SE" w:eastAsia="zh-CN"/>
              </w:rPr>
            </w:pPr>
            <w:r>
              <w:rPr>
                <w:rFonts w:eastAsiaTheme="minorEastAsia"/>
                <w:lang w:val="sv-SE" w:eastAsia="zh-CN"/>
              </w:rPr>
              <w:t>Lenovo</w:t>
            </w:r>
          </w:p>
        </w:tc>
        <w:tc>
          <w:tcPr>
            <w:tcW w:w="2486" w:type="pct"/>
          </w:tcPr>
          <w:p w14:paraId="29164373" w14:textId="665EE91D" w:rsidR="00650F16" w:rsidRPr="00E0739A" w:rsidRDefault="00AD1796">
            <w:pPr>
              <w:rPr>
                <w:rFonts w:eastAsiaTheme="minorEastAsia"/>
                <w:lang w:val="sv-SE" w:eastAsia="zh-CN"/>
              </w:rPr>
            </w:pPr>
            <w:r>
              <w:rPr>
                <w:rFonts w:eastAsiaTheme="minorEastAsia"/>
                <w:lang w:val="sv-SE" w:eastAsia="zh-CN"/>
              </w:rPr>
              <w:t>Joachim Löhr</w:t>
            </w:r>
          </w:p>
        </w:tc>
        <w:tc>
          <w:tcPr>
            <w:tcW w:w="1667" w:type="pct"/>
          </w:tcPr>
          <w:p w14:paraId="56266AF8" w14:textId="42044ED5" w:rsidR="00650F16" w:rsidRPr="00E0739A" w:rsidRDefault="00AD1796">
            <w:pPr>
              <w:rPr>
                <w:rFonts w:eastAsiaTheme="minorEastAsia"/>
                <w:lang w:val="sv-SE" w:eastAsia="zh-CN"/>
              </w:rPr>
            </w:pPr>
            <w:r>
              <w:rPr>
                <w:rFonts w:eastAsiaTheme="minorEastAsia"/>
                <w:lang w:val="sv-SE" w:eastAsia="zh-CN"/>
              </w:rPr>
              <w:t>jlohr@lenovo.com</w:t>
            </w:r>
          </w:p>
        </w:tc>
      </w:tr>
      <w:tr w:rsidR="00BC1E3E" w:rsidRPr="006B5640" w14:paraId="4FC03B1B" w14:textId="77777777" w:rsidTr="00355CFD">
        <w:tc>
          <w:tcPr>
            <w:tcW w:w="847" w:type="pct"/>
          </w:tcPr>
          <w:p w14:paraId="182AB3FF" w14:textId="48FFAF6F" w:rsidR="00BC1E3E" w:rsidRPr="00BC1E3E" w:rsidRDefault="00BC1E3E">
            <w:pPr>
              <w:rPr>
                <w:rFonts w:eastAsia="新細明體" w:hint="eastAsia"/>
                <w:lang w:val="sv-SE" w:eastAsia="zh-TW"/>
              </w:rPr>
            </w:pPr>
            <w:r>
              <w:rPr>
                <w:rFonts w:eastAsia="新細明體" w:hint="eastAsia"/>
                <w:lang w:val="sv-SE" w:eastAsia="zh-TW"/>
              </w:rPr>
              <w:t>A</w:t>
            </w:r>
            <w:r>
              <w:rPr>
                <w:rFonts w:eastAsia="新細明體"/>
                <w:lang w:val="sv-SE" w:eastAsia="zh-TW"/>
              </w:rPr>
              <w:t>PT</w:t>
            </w:r>
          </w:p>
        </w:tc>
        <w:tc>
          <w:tcPr>
            <w:tcW w:w="2486" w:type="pct"/>
          </w:tcPr>
          <w:p w14:paraId="394804AB" w14:textId="0F516746" w:rsidR="00BC1E3E" w:rsidRPr="00BC1E3E" w:rsidRDefault="00BC1E3E">
            <w:pPr>
              <w:rPr>
                <w:rFonts w:eastAsia="新細明體" w:hint="eastAsia"/>
                <w:lang w:val="sv-SE" w:eastAsia="zh-TW"/>
              </w:rPr>
            </w:pPr>
            <w:r>
              <w:rPr>
                <w:rFonts w:eastAsia="新細明體" w:hint="eastAsia"/>
                <w:lang w:val="sv-SE" w:eastAsia="zh-TW"/>
              </w:rPr>
              <w:t>H</w:t>
            </w:r>
            <w:r>
              <w:rPr>
                <w:rFonts w:eastAsia="新細明體"/>
                <w:lang w:val="sv-SE" w:eastAsia="zh-TW"/>
              </w:rPr>
              <w:t>enry Chin</w:t>
            </w:r>
          </w:p>
        </w:tc>
        <w:tc>
          <w:tcPr>
            <w:tcW w:w="1667" w:type="pct"/>
          </w:tcPr>
          <w:p w14:paraId="1AE7F575" w14:textId="10762B4D" w:rsidR="00BC1E3E" w:rsidRPr="00BC1E3E" w:rsidRDefault="00BC1E3E">
            <w:pPr>
              <w:rPr>
                <w:rFonts w:eastAsia="新細明體" w:hint="eastAsia"/>
                <w:lang w:val="sv-SE" w:eastAsia="zh-TW"/>
              </w:rPr>
            </w:pPr>
            <w:r>
              <w:rPr>
                <w:rFonts w:eastAsia="新細明體" w:hint="eastAsia"/>
                <w:lang w:val="sv-SE" w:eastAsia="zh-TW"/>
              </w:rPr>
              <w:t>H</w:t>
            </w:r>
            <w:r>
              <w:rPr>
                <w:rFonts w:eastAsia="新細明體"/>
                <w:lang w:val="sv-SE" w:eastAsia="zh-TW"/>
              </w:rPr>
              <w:t>enryChin@fginnov.com</w:t>
            </w:r>
          </w:p>
        </w:tc>
      </w:tr>
    </w:tbl>
    <w:p w14:paraId="7E056155" w14:textId="77777777" w:rsidR="00650F16" w:rsidRPr="00E0739A" w:rsidRDefault="00650F16">
      <w:pPr>
        <w:rPr>
          <w:lang w:val="sv-SE" w:eastAsia="en-GB"/>
        </w:rPr>
      </w:pPr>
    </w:p>
    <w:p w14:paraId="2F73E63A" w14:textId="77777777" w:rsidR="00650F16" w:rsidRPr="00E0739A" w:rsidRDefault="00650F16">
      <w:pPr>
        <w:pStyle w:val="afa"/>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4384" w14:textId="77777777" w:rsidR="00796E74" w:rsidRDefault="00796E74">
      <w:pPr>
        <w:spacing w:after="0" w:line="240" w:lineRule="auto"/>
      </w:pPr>
      <w:r>
        <w:separator/>
      </w:r>
    </w:p>
  </w:endnote>
  <w:endnote w:type="continuationSeparator" w:id="0">
    <w:p w14:paraId="378363D9" w14:textId="77777777" w:rsidR="00796E74" w:rsidRDefault="0079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0BB87" w14:textId="77777777" w:rsidR="00796E74" w:rsidRDefault="00796E74">
      <w:pPr>
        <w:spacing w:after="0" w:line="240" w:lineRule="auto"/>
      </w:pPr>
      <w:r>
        <w:separator/>
      </w:r>
    </w:p>
  </w:footnote>
  <w:footnote w:type="continuationSeparator" w:id="0">
    <w:p w14:paraId="71E5D85C" w14:textId="77777777" w:rsidR="00796E74" w:rsidRDefault="00796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3286C"/>
    <w:rsid w:val="0013540E"/>
    <w:rsid w:val="0014053C"/>
    <w:rsid w:val="001679DC"/>
    <w:rsid w:val="001703AC"/>
    <w:rsid w:val="00180FE3"/>
    <w:rsid w:val="001838D4"/>
    <w:rsid w:val="001843B9"/>
    <w:rsid w:val="001A7887"/>
    <w:rsid w:val="001B2114"/>
    <w:rsid w:val="001B5525"/>
    <w:rsid w:val="001C45CE"/>
    <w:rsid w:val="001F5226"/>
    <w:rsid w:val="001F7B50"/>
    <w:rsid w:val="00233906"/>
    <w:rsid w:val="0023504A"/>
    <w:rsid w:val="00235DE7"/>
    <w:rsid w:val="00240B69"/>
    <w:rsid w:val="00256FE7"/>
    <w:rsid w:val="002B1457"/>
    <w:rsid w:val="002E0D27"/>
    <w:rsid w:val="002F1A07"/>
    <w:rsid w:val="00300091"/>
    <w:rsid w:val="00327411"/>
    <w:rsid w:val="003352A6"/>
    <w:rsid w:val="00336FF3"/>
    <w:rsid w:val="00343ADA"/>
    <w:rsid w:val="00355CFD"/>
    <w:rsid w:val="00362BDD"/>
    <w:rsid w:val="003A04C1"/>
    <w:rsid w:val="003D29D7"/>
    <w:rsid w:val="003D6954"/>
    <w:rsid w:val="003E2AEB"/>
    <w:rsid w:val="003E61AE"/>
    <w:rsid w:val="003F36F2"/>
    <w:rsid w:val="00406191"/>
    <w:rsid w:val="00407296"/>
    <w:rsid w:val="00407594"/>
    <w:rsid w:val="00420FAD"/>
    <w:rsid w:val="00424EFE"/>
    <w:rsid w:val="0042707A"/>
    <w:rsid w:val="00436DC7"/>
    <w:rsid w:val="00452A3F"/>
    <w:rsid w:val="00460454"/>
    <w:rsid w:val="0047722D"/>
    <w:rsid w:val="004819A9"/>
    <w:rsid w:val="004857FE"/>
    <w:rsid w:val="004A5B6B"/>
    <w:rsid w:val="004A691D"/>
    <w:rsid w:val="004C3F3E"/>
    <w:rsid w:val="00500E7B"/>
    <w:rsid w:val="00511148"/>
    <w:rsid w:val="00512989"/>
    <w:rsid w:val="005320C7"/>
    <w:rsid w:val="00553167"/>
    <w:rsid w:val="00557355"/>
    <w:rsid w:val="005618AA"/>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4BFB"/>
    <w:rsid w:val="00737C0B"/>
    <w:rsid w:val="00742680"/>
    <w:rsid w:val="00760EB8"/>
    <w:rsid w:val="00770FB4"/>
    <w:rsid w:val="00773BD3"/>
    <w:rsid w:val="00796E74"/>
    <w:rsid w:val="007A334C"/>
    <w:rsid w:val="007D0823"/>
    <w:rsid w:val="007E236E"/>
    <w:rsid w:val="007E3C01"/>
    <w:rsid w:val="007E7BD6"/>
    <w:rsid w:val="007F02E4"/>
    <w:rsid w:val="007F0E48"/>
    <w:rsid w:val="00806A52"/>
    <w:rsid w:val="00823F27"/>
    <w:rsid w:val="0084132B"/>
    <w:rsid w:val="00843468"/>
    <w:rsid w:val="00844F26"/>
    <w:rsid w:val="0084693B"/>
    <w:rsid w:val="00851924"/>
    <w:rsid w:val="008929B2"/>
    <w:rsid w:val="008955BB"/>
    <w:rsid w:val="008E593E"/>
    <w:rsid w:val="008F22C0"/>
    <w:rsid w:val="008F53C6"/>
    <w:rsid w:val="0090069C"/>
    <w:rsid w:val="00901D63"/>
    <w:rsid w:val="009142AC"/>
    <w:rsid w:val="00940213"/>
    <w:rsid w:val="00944333"/>
    <w:rsid w:val="00944860"/>
    <w:rsid w:val="00950008"/>
    <w:rsid w:val="00973DAD"/>
    <w:rsid w:val="00977CFF"/>
    <w:rsid w:val="009A1CD2"/>
    <w:rsid w:val="009A26B3"/>
    <w:rsid w:val="009B6D39"/>
    <w:rsid w:val="009C0F0A"/>
    <w:rsid w:val="009E1BD8"/>
    <w:rsid w:val="009E7305"/>
    <w:rsid w:val="009F1B65"/>
    <w:rsid w:val="009F4064"/>
    <w:rsid w:val="00A108CF"/>
    <w:rsid w:val="00A1262E"/>
    <w:rsid w:val="00A12880"/>
    <w:rsid w:val="00A27F1D"/>
    <w:rsid w:val="00A309FC"/>
    <w:rsid w:val="00A32053"/>
    <w:rsid w:val="00A47C01"/>
    <w:rsid w:val="00A600DF"/>
    <w:rsid w:val="00A7681A"/>
    <w:rsid w:val="00A8700F"/>
    <w:rsid w:val="00AD1796"/>
    <w:rsid w:val="00B048EB"/>
    <w:rsid w:val="00B06FEF"/>
    <w:rsid w:val="00B11246"/>
    <w:rsid w:val="00B119BE"/>
    <w:rsid w:val="00B12146"/>
    <w:rsid w:val="00B40759"/>
    <w:rsid w:val="00B4771D"/>
    <w:rsid w:val="00B5620D"/>
    <w:rsid w:val="00B73C76"/>
    <w:rsid w:val="00B91642"/>
    <w:rsid w:val="00BA17BE"/>
    <w:rsid w:val="00BC0C12"/>
    <w:rsid w:val="00BC1E3E"/>
    <w:rsid w:val="00BC7207"/>
    <w:rsid w:val="00BE7172"/>
    <w:rsid w:val="00BF048A"/>
    <w:rsid w:val="00C268B1"/>
    <w:rsid w:val="00C47736"/>
    <w:rsid w:val="00C52259"/>
    <w:rsid w:val="00C92075"/>
    <w:rsid w:val="00CC54C9"/>
    <w:rsid w:val="00CD534D"/>
    <w:rsid w:val="00D01762"/>
    <w:rsid w:val="00D025D0"/>
    <w:rsid w:val="00D337E0"/>
    <w:rsid w:val="00D4019C"/>
    <w:rsid w:val="00D607A7"/>
    <w:rsid w:val="00D64DBF"/>
    <w:rsid w:val="00D77AB2"/>
    <w:rsid w:val="00D9108A"/>
    <w:rsid w:val="00D924B9"/>
    <w:rsid w:val="00DA703D"/>
    <w:rsid w:val="00DB06E2"/>
    <w:rsid w:val="00DB5A44"/>
    <w:rsid w:val="00DB5E2A"/>
    <w:rsid w:val="00DB6A25"/>
    <w:rsid w:val="00DC27E9"/>
    <w:rsid w:val="00DC572C"/>
    <w:rsid w:val="00DD146B"/>
    <w:rsid w:val="00DD5AF5"/>
    <w:rsid w:val="00E0739A"/>
    <w:rsid w:val="00E138F9"/>
    <w:rsid w:val="00E2600C"/>
    <w:rsid w:val="00E72407"/>
    <w:rsid w:val="00E818DF"/>
    <w:rsid w:val="00E93D55"/>
    <w:rsid w:val="00E96515"/>
    <w:rsid w:val="00EA3209"/>
    <w:rsid w:val="00EA689D"/>
    <w:rsid w:val="00EB5DDC"/>
    <w:rsid w:val="00EC4584"/>
    <w:rsid w:val="00ED1254"/>
    <w:rsid w:val="00EF3060"/>
    <w:rsid w:val="00F00F25"/>
    <w:rsid w:val="00F071F4"/>
    <w:rsid w:val="00F073CC"/>
    <w:rsid w:val="00F12BF5"/>
    <w:rsid w:val="00F27AA0"/>
    <w:rsid w:val="00F37439"/>
    <w:rsid w:val="00F56763"/>
    <w:rsid w:val="00F6214A"/>
    <w:rsid w:val="00F6290D"/>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頁首 字元"/>
    <w:link w:val="ad"/>
    <w:qFormat/>
    <w:rPr>
      <w:rFonts w:eastAsia="Times New Roman"/>
      <w:b/>
      <w:kern w:val="0"/>
      <w:sz w:val="18"/>
      <w:szCs w:val="20"/>
      <w:lang w:eastAsia="en-GB"/>
    </w:rPr>
  </w:style>
  <w:style w:type="character" w:customStyle="1" w:styleId="ae">
    <w:name w:val="頁尾 字元"/>
    <w:link w:val="ac"/>
    <w:qFormat/>
    <w:rPr>
      <w:rFonts w:eastAsia="Times New Roman"/>
      <w:b/>
      <w:i/>
      <w:kern w:val="0"/>
      <w:sz w:val="18"/>
      <w:szCs w:val="20"/>
      <w:lang w:val="zh-CN" w:eastAsia="zh-CN"/>
    </w:rPr>
  </w:style>
  <w:style w:type="character" w:customStyle="1" w:styleId="af1">
    <w:name w:val="註腳文字 字元"/>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標題 1 字元"/>
    <w:link w:val="1"/>
    <w:qFormat/>
    <w:rPr>
      <w:rFonts w:eastAsia="Times New Roman"/>
      <w:kern w:val="0"/>
      <w:sz w:val="36"/>
      <w:szCs w:val="20"/>
      <w:lang w:eastAsia="en-GB"/>
    </w:rPr>
  </w:style>
  <w:style w:type="character" w:customStyle="1" w:styleId="20">
    <w:name w:val="標題 2 字元"/>
    <w:link w:val="2"/>
    <w:qFormat/>
    <w:rPr>
      <w:rFonts w:eastAsia="Times New Roman"/>
      <w:kern w:val="0"/>
      <w:sz w:val="32"/>
      <w:szCs w:val="20"/>
      <w:lang w:val="zh-CN" w:eastAsia="zh-CN"/>
    </w:rPr>
  </w:style>
  <w:style w:type="character" w:customStyle="1" w:styleId="30">
    <w:name w:val="標題 3 字元"/>
    <w:link w:val="3"/>
    <w:qFormat/>
    <w:rPr>
      <w:rFonts w:eastAsia="Times New Roman"/>
      <w:kern w:val="0"/>
      <w:sz w:val="28"/>
      <w:szCs w:val="20"/>
      <w:lang w:val="zh-CN" w:eastAsia="zh-CN"/>
    </w:rPr>
  </w:style>
  <w:style w:type="character" w:customStyle="1" w:styleId="40">
    <w:name w:val="標題 4 字元"/>
    <w:link w:val="4"/>
    <w:qFormat/>
    <w:rPr>
      <w:rFonts w:eastAsia="Times New Roman"/>
      <w:kern w:val="0"/>
      <w:sz w:val="24"/>
      <w:szCs w:val="20"/>
      <w:lang w:val="zh-CN" w:eastAsia="zh-CN"/>
    </w:rPr>
  </w:style>
  <w:style w:type="character" w:customStyle="1" w:styleId="50">
    <w:name w:val="標題 5 字元"/>
    <w:link w:val="5"/>
    <w:qFormat/>
    <w:rPr>
      <w:rFonts w:eastAsia="Times New Roman"/>
      <w:kern w:val="0"/>
      <w:sz w:val="22"/>
      <w:szCs w:val="20"/>
      <w:lang w:val="zh-CN" w:eastAsia="zh-CN"/>
    </w:rPr>
  </w:style>
  <w:style w:type="character" w:customStyle="1" w:styleId="60">
    <w:name w:val="標題 6 字元"/>
    <w:link w:val="6"/>
    <w:qFormat/>
    <w:rPr>
      <w:rFonts w:eastAsia="Times New Roman"/>
      <w:kern w:val="0"/>
      <w:sz w:val="20"/>
      <w:szCs w:val="20"/>
      <w:lang w:val="zh-CN" w:eastAsia="zh-CN"/>
    </w:rPr>
  </w:style>
  <w:style w:type="character" w:customStyle="1" w:styleId="70">
    <w:name w:val="標題 7 字元"/>
    <w:link w:val="7"/>
    <w:qFormat/>
    <w:rPr>
      <w:rFonts w:eastAsia="Times New Roman"/>
      <w:kern w:val="0"/>
      <w:sz w:val="20"/>
      <w:szCs w:val="20"/>
      <w:lang w:val="zh-CN" w:eastAsia="zh-CN"/>
    </w:rPr>
  </w:style>
  <w:style w:type="character" w:customStyle="1" w:styleId="80">
    <w:name w:val="標題 8 字元"/>
    <w:link w:val="8"/>
    <w:qFormat/>
    <w:rPr>
      <w:rFonts w:eastAsia="Times New Roman"/>
      <w:kern w:val="0"/>
      <w:sz w:val="36"/>
      <w:szCs w:val="20"/>
      <w:lang w:val="zh-CN" w:eastAsia="zh-CN"/>
    </w:rPr>
  </w:style>
  <w:style w:type="character" w:customStyle="1" w:styleId="90">
    <w:name w:val="標題 9 字元"/>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註解方塊文字 字元"/>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註解文字 字元"/>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3">
    <w:name w:val="註解主旨 字元"/>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b">
    <w:name w:val="清單段落 字元"/>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件引導模式 字元"/>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7">
    <w:name w:val="확인되지 않은 멘션2"/>
    <w:basedOn w:val="a0"/>
    <w:uiPriority w:val="99"/>
    <w:semiHidden/>
    <w:unhideWhenUsed/>
    <w:rsid w:val="00A12880"/>
    <w:rPr>
      <w:color w:val="605E5C"/>
      <w:shd w:val="clear" w:color="auto" w:fill="E1DFDD"/>
    </w:rPr>
  </w:style>
  <w:style w:type="character" w:customStyle="1" w:styleId="UnresolvedMention4">
    <w:name w:val="Unresolved Mention4"/>
    <w:basedOn w:val="a0"/>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ungjune.yi@lge.com" TargetMode="External"/><Relationship Id="rId17" Type="http://schemas.openxmlformats.org/officeDocument/2006/relationships/hyperlink" Target="mailto:Tunhuai_Shih@asus.com" TargetMode="External"/><Relationship Id="rId2" Type="http://schemas.openxmlformats.org/officeDocument/2006/relationships/customXml" Target="../customXml/item2.xml"/><Relationship Id="rId16" Type="http://schemas.openxmlformats.org/officeDocument/2006/relationships/hyperlink" Target="mailto:linxue@opp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ilag@samsung.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DA20958-72B3-44E3-A3B0-DB9373C931FC}">
  <ds:schemaRefs>
    <ds:schemaRef ds:uri="http://schemas.openxmlformats.org/officeDocument/2006/bibliography"/>
  </ds:schemaRefs>
</ds:datastoreItem>
</file>

<file path=customXml/itemProps5.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5922</Words>
  <Characters>33761</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ChinHenry</cp:lastModifiedBy>
  <cp:revision>14</cp:revision>
  <dcterms:created xsi:type="dcterms:W3CDTF">2021-03-19T07:59:00Z</dcterms:created>
  <dcterms:modified xsi:type="dcterms:W3CDTF">2021-03-19T10:01:00Z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