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6024" w14:textId="77777777" w:rsidR="00650F16" w:rsidRDefault="00FC00DF" w:rsidP="007E236E">
      <w:pPr>
        <w:keepLines/>
        <w:snapToGrid w:val="0"/>
        <w:spacing w:line="276" w:lineRule="auto"/>
        <w:rPr>
          <w:rFonts w:eastAsia="宋体" w:cs="Arial"/>
          <w:b/>
          <w:sz w:val="28"/>
          <w:szCs w:val="28"/>
          <w:lang w:eastAsia="en-US"/>
        </w:rPr>
      </w:pPr>
      <w:r>
        <w:rPr>
          <w:rFonts w:eastAsia="宋体" w:cs="Arial"/>
          <w:b/>
          <w:sz w:val="28"/>
          <w:szCs w:val="28"/>
          <w:lang w:eastAsia="en-US"/>
        </w:rPr>
        <w:t>3GPP TSG-RAN2 Meeti</w:t>
      </w:r>
      <w:r w:rsidR="007E236E">
        <w:rPr>
          <w:rFonts w:eastAsia="宋体" w:cs="Arial"/>
          <w:b/>
          <w:sz w:val="28"/>
          <w:szCs w:val="28"/>
          <w:lang w:eastAsia="en-US"/>
        </w:rPr>
        <w:t>ng #113-bis-e</w:t>
      </w:r>
      <w:r w:rsidR="007E236E">
        <w:rPr>
          <w:rFonts w:eastAsia="宋体" w:cs="Arial"/>
          <w:b/>
          <w:sz w:val="28"/>
          <w:szCs w:val="28"/>
          <w:lang w:eastAsia="en-US"/>
        </w:rPr>
        <w:tab/>
        <w:t xml:space="preserve">    </w:t>
      </w:r>
      <w:r w:rsidR="007E236E">
        <w:rPr>
          <w:rFonts w:eastAsia="宋体" w:cs="Arial"/>
          <w:b/>
          <w:sz w:val="28"/>
          <w:szCs w:val="28"/>
          <w:lang w:eastAsia="en-US"/>
        </w:rPr>
        <w:tab/>
        <w:t xml:space="preserve">                </w:t>
      </w:r>
      <w:r>
        <w:rPr>
          <w:rFonts w:eastAsia="宋体"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宋体" w:cs="Arial"/>
          <w:b/>
          <w:sz w:val="28"/>
          <w:szCs w:val="28"/>
          <w:lang w:eastAsia="en-US"/>
        </w:rPr>
        <w:t>e-Meeting, 12 – 20 April,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b"/>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af5"/>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b"/>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afb"/>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f5"/>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af5"/>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the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D61929">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D61929">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D61929">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D61929">
            <w:pPr>
              <w:snapToGrid w:val="0"/>
              <w:rPr>
                <w:rFonts w:eastAsiaTheme="minorEastAsia" w:cs="Arial"/>
                <w:snapToGrid w:val="0"/>
                <w:sz w:val="20"/>
                <w:szCs w:val="20"/>
                <w:lang w:eastAsia="zh-CN"/>
              </w:rPr>
            </w:pPr>
            <w:r>
              <w:rPr>
                <w:rFonts w:cs="Arial" w:hint="eastAsia"/>
                <w:snapToGrid w:val="0"/>
                <w:sz w:val="20"/>
                <w:szCs w:val="20"/>
                <w:lang w:eastAsia="zh-CN"/>
              </w:rPr>
              <w:t>Spreadtrum</w:t>
            </w:r>
          </w:p>
        </w:tc>
        <w:tc>
          <w:tcPr>
            <w:tcW w:w="1298" w:type="dxa"/>
          </w:tcPr>
          <w:p w14:paraId="5EABA0CF" w14:textId="2C757A2A" w:rsidR="000F50E3" w:rsidRDefault="000F50E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Qos flow to DRB mapping rules are restored </w:t>
            </w:r>
            <w:r>
              <w:rPr>
                <w:rFonts w:eastAsiaTheme="minorEastAsia" w:cs="Arial"/>
                <w:snapToGrid w:val="0"/>
                <w:sz w:val="20"/>
                <w:szCs w:val="20"/>
                <w:lang w:eastAsia="zh-CN"/>
              </w:rPr>
              <w:t xml:space="preserve">before transmitting </w:t>
            </w:r>
            <w:r w:rsidRPr="000F50E3">
              <w:rPr>
                <w:rFonts w:eastAsiaTheme="minorEastAsia" w:cs="Arial"/>
                <w:i/>
                <w:snapToGrid w:val="0"/>
                <w:sz w:val="20"/>
                <w:szCs w:val="20"/>
                <w:lang w:eastAsia="zh-CN"/>
              </w:rPr>
              <w:t>RRCResumeRequest</w:t>
            </w:r>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awared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hint="eastAsia"/>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w:t>
            </w:r>
            <w:r>
              <w:rPr>
                <w:rFonts w:cs="Arial"/>
                <w:snapToGrid w:val="0"/>
                <w:sz w:val="20"/>
                <w:szCs w:val="20"/>
              </w:rPr>
              <w:t>,</w:t>
            </w:r>
            <w:r>
              <w:rPr>
                <w:rFonts w:cs="Arial"/>
                <w:snapToGrid w:val="0"/>
                <w:sz w:val="20"/>
                <w:szCs w:val="20"/>
              </w:rPr>
              <w:t xml:space="preserve"> </w:t>
            </w:r>
            <w:r>
              <w:rPr>
                <w:rFonts w:cs="Arial"/>
                <w:snapToGrid w:val="0"/>
                <w:sz w:val="20"/>
                <w:szCs w:val="20"/>
              </w:rPr>
              <w:t>thus</w:t>
            </w:r>
            <w:r>
              <w:rPr>
                <w:rFonts w:cs="Arial"/>
                <w:snapToGrid w:val="0"/>
                <w:sz w:val="20"/>
                <w:szCs w:val="20"/>
              </w:rPr>
              <w:t xml:space="preserve"> not </w:t>
            </w:r>
            <w:r>
              <w:rPr>
                <w:rFonts w:cs="Arial"/>
                <w:snapToGrid w:val="0"/>
                <w:sz w:val="20"/>
                <w:szCs w:val="20"/>
              </w:rPr>
              <w:t xml:space="preserve">being </w:t>
            </w:r>
            <w:r>
              <w:rPr>
                <w:rFonts w:cs="Arial"/>
                <w:snapToGrid w:val="0"/>
                <w:sz w:val="20"/>
                <w:szCs w:val="20"/>
              </w:rPr>
              <w:t>counted into BSR.</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f5"/>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RRCResume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UE receives RRCResume.</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RRCResume message. However, the gain is marginal because </w:t>
            </w:r>
            <w:r>
              <w:rPr>
                <w:rFonts w:cs="Arial"/>
                <w:snapToGrid w:val="0"/>
                <w:sz w:val="20"/>
                <w:szCs w:val="20"/>
              </w:rPr>
              <w:lastRenderedPageBreak/>
              <w:t>the UE can transmit non-SDT data only after the UE receives the RRCResume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It has been agreed that the network can configure allowed DRBs for SDT and it seems clear the non-SDT DRB should not be resumed and scheduled over SDT transmission opportunities but the UE needs to be brought first into CONNECTED state (e.g., with RRCResume)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gurantee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Resuming non-SDT DRBs would require an LCP restriction to ensure only SDT DRBs are multiplexed on SDT resources. Option 2 is also inline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D61929">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D6192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D61929">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324" w:type="dxa"/>
          </w:tcPr>
          <w:p w14:paraId="436DB59B" w14:textId="764E7879"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D61929">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hint="eastAsia"/>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ResumeReq) is sent. As already discussed at the last meeting, with this option the open issues are: </w:t>
      </w:r>
    </w:p>
    <w:p w14:paraId="5F759731" w14:textId="77777777" w:rsidR="00650F16" w:rsidRDefault="00FC00DF">
      <w:pPr>
        <w:pStyle w:val="afb"/>
        <w:numPr>
          <w:ilvl w:val="0"/>
          <w:numId w:val="7"/>
        </w:numPr>
        <w:snapToGrid w:val="0"/>
        <w:rPr>
          <w:rFonts w:cs="Arial"/>
          <w:snapToGrid w:val="0"/>
          <w:sz w:val="20"/>
          <w:szCs w:val="20"/>
        </w:rPr>
      </w:pPr>
      <w:r>
        <w:rPr>
          <w:rFonts w:cs="Arial"/>
          <w:snapToGrid w:val="0"/>
          <w:sz w:val="20"/>
          <w:szCs w:val="20"/>
        </w:rPr>
        <w:t>How to handle the security material: Specifically, ResumeMAC-I will be repeated in the same cell case (and unlike Rel-15, this happens without any DL message from network – e.g., RRCReject). Whether this is acceptable or not needs to be confirmed by SA3.</w:t>
      </w:r>
    </w:p>
    <w:p w14:paraId="3D3628D0" w14:textId="77777777" w:rsidR="00650F16" w:rsidRDefault="00FC00DF">
      <w:pPr>
        <w:pStyle w:val="afb"/>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AS directly can trigger a new RRCResume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lastRenderedPageBreak/>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releasePrerence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f5"/>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For example, if a new RRCResume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RRCResume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In case of RRC-based solution, for both RACH and CG based solutions, the CCCH message contains ResumeMAC-I generated using the stored security key for RRC integrity protection – i.e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afb"/>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b"/>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gNB based on the old I-RNTI and the old anchor gNB may not have the context </w:t>
            </w:r>
            <w:r>
              <w:rPr>
                <w:rFonts w:cs="Arial"/>
                <w:snapToGrid w:val="0"/>
                <w:sz w:val="20"/>
                <w:szCs w:val="20"/>
              </w:rPr>
              <w:lastRenderedPageBreak/>
              <w:t xml:space="preserve">anymore (since it has been relocated). Seems additional work might be needed (RAN3 may be impacted in addition to SA3/CT1) with this approach. </w:t>
            </w:r>
          </w:p>
          <w:p w14:paraId="341DDBC1" w14:textId="77777777" w:rsidR="00650F16" w:rsidRDefault="00FC00DF">
            <w:pPr>
              <w:pStyle w:val="afb"/>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repeatition of security token (even in Rel-15) and adding another case where the security material is repeated would seem not ideal in anycase.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9A26B3">
        <w:tc>
          <w:tcPr>
            <w:tcW w:w="1183" w:type="dxa"/>
          </w:tcPr>
          <w:p w14:paraId="078A55C5" w14:textId="1FC83581" w:rsidR="009A26B3" w:rsidRPr="00B048EB" w:rsidRDefault="009A26B3" w:rsidP="00D61929">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9" w:type="dxa"/>
          </w:tcPr>
          <w:p w14:paraId="610917F1" w14:textId="77777777" w:rsidR="009A26B3" w:rsidRPr="00B048EB" w:rsidRDefault="009A26B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34E86D4A" w14:textId="77777777" w:rsidR="009A26B3" w:rsidRPr="00001671" w:rsidRDefault="009A26B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9A26B3">
        <w:tc>
          <w:tcPr>
            <w:tcW w:w="1183" w:type="dxa"/>
          </w:tcPr>
          <w:p w14:paraId="387B85C9" w14:textId="38B753A5"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9" w:type="dxa"/>
          </w:tcPr>
          <w:p w14:paraId="75C8467C" w14:textId="6C10AD97"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5" w:type="dxa"/>
          </w:tcPr>
          <w:p w14:paraId="1F44F46A" w14:textId="56E07317"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9A26B3">
        <w:tc>
          <w:tcPr>
            <w:tcW w:w="1183" w:type="dxa"/>
          </w:tcPr>
          <w:p w14:paraId="1AF4A4CD" w14:textId="551BE773"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9" w:type="dxa"/>
          </w:tcPr>
          <w:p w14:paraId="36631DFF" w14:textId="2A8B02F1" w:rsidR="00760EB8" w:rsidRDefault="00760EB8"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6395" w:type="dxa"/>
          </w:tcPr>
          <w:p w14:paraId="13828B18" w14:textId="31FC9B10" w:rsidR="00760EB8" w:rsidRDefault="00760EB8" w:rsidP="00760EB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bl>
    <w:p w14:paraId="6E26D7F5"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b"/>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afb"/>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b"/>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lastRenderedPageBreak/>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Xn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gNB decides not to perform the context retrievial, the target gNB is not able to  decode the DCCH message, but is able to decode the MAC CE. </w:t>
            </w:r>
            <w:r w:rsidR="00E93D55">
              <w:rPr>
                <w:rFonts w:eastAsiaTheme="minorEastAsia" w:cs="Arial"/>
                <w:snapToGrid w:val="0"/>
                <w:sz w:val="20"/>
                <w:szCs w:val="20"/>
                <w:lang w:eastAsia="zh-CN"/>
              </w:rPr>
              <w:t xml:space="preserve">In order to reumse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hich node to decode the indication would result in different signaling procedure between Xn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adpoted</w:t>
            </w:r>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gNB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afb"/>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gNB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reponse</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p>
          <w:p w14:paraId="2CD77739" w14:textId="27197AB1" w:rsid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it is the source gNB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b"/>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Target gNB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gNB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afb"/>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can be aware of the arrivial of non-SDT data</w:t>
            </w:r>
            <w:r w:rsidR="007E7BD6">
              <w:rPr>
                <w:rFonts w:eastAsiaTheme="minorEastAsia" w:cs="Arial"/>
                <w:snapToGrid w:val="0"/>
                <w:sz w:val="20"/>
                <w:szCs w:val="20"/>
                <w:lang w:eastAsia="zh-CN"/>
              </w:rPr>
              <w:t xml:space="preserve"> after decoding the DCCH messsage</w:t>
            </w:r>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b"/>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r w:rsidR="001703AC">
              <w:rPr>
                <w:rFonts w:eastAsiaTheme="minorEastAsia" w:cs="Arial"/>
                <w:snapToGrid w:val="0"/>
                <w:sz w:val="20"/>
                <w:szCs w:val="20"/>
                <w:lang w:eastAsia="zh-CN"/>
              </w:rPr>
              <w:t xml:space="preserve"> Maybe an additional indication from source gNB is needed since target gNB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rom the perspective to follow the legacy request-reponse Xn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r>
              <w:rPr>
                <w:rFonts w:cs="Arial"/>
                <w:snapToGrid w:val="0"/>
                <w:sz w:val="20"/>
                <w:szCs w:val="20"/>
              </w:rPr>
              <w:t>InterDigital</w:t>
            </w:r>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844F26">
        <w:tc>
          <w:tcPr>
            <w:tcW w:w="1182" w:type="dxa"/>
          </w:tcPr>
          <w:p w14:paraId="1545CEA0" w14:textId="49670CBA" w:rsidR="00844F26" w:rsidRDefault="00844F26" w:rsidP="00D61929">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D6192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58B0351D" w14:textId="11600B13" w:rsidR="00844F26" w:rsidRDefault="00844F26" w:rsidP="00D61929">
            <w:pPr>
              <w:snapToGrid w:val="0"/>
              <w:rPr>
                <w:rFonts w:cs="Arial"/>
                <w:snapToGrid w:val="0"/>
                <w:sz w:val="20"/>
                <w:szCs w:val="20"/>
              </w:rPr>
            </w:pPr>
          </w:p>
        </w:tc>
      </w:tr>
      <w:tr w:rsidR="00FB173F" w14:paraId="6D3E2ED5" w14:textId="77777777" w:rsidTr="00844F26">
        <w:tc>
          <w:tcPr>
            <w:tcW w:w="1182" w:type="dxa"/>
          </w:tcPr>
          <w:p w14:paraId="2E4420C7" w14:textId="05979453" w:rsidR="00FB173F" w:rsidRDefault="00FB173F" w:rsidP="00D61929">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6" w:type="dxa"/>
          </w:tcPr>
          <w:p w14:paraId="06AA2D1E" w14:textId="2321D9D8" w:rsidR="00FB173F" w:rsidRDefault="00FB173F"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9" w:type="dxa"/>
          </w:tcPr>
          <w:p w14:paraId="49917B90" w14:textId="77777777" w:rsidR="00FB173F" w:rsidRDefault="00FB173F" w:rsidP="00D61929">
            <w:pPr>
              <w:snapToGrid w:val="0"/>
              <w:rPr>
                <w:rFonts w:cs="Arial"/>
                <w:snapToGrid w:val="0"/>
                <w:sz w:val="20"/>
                <w:szCs w:val="20"/>
              </w:rPr>
            </w:pPr>
          </w:p>
        </w:tc>
      </w:tr>
      <w:tr w:rsidR="00760EB8" w14:paraId="517A927C" w14:textId="77777777" w:rsidTr="00844F26">
        <w:tc>
          <w:tcPr>
            <w:tcW w:w="1182" w:type="dxa"/>
          </w:tcPr>
          <w:p w14:paraId="504A0C93" w14:textId="72F58E1A" w:rsidR="00760EB8" w:rsidRDefault="00760EB8" w:rsidP="00760EB8">
            <w:pPr>
              <w:tabs>
                <w:tab w:val="left" w:pos="870"/>
              </w:tabs>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9"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bl>
    <w:p w14:paraId="6E2F3660"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RRCResumeRequest message using DCCH is that the message itself is security protected. It means that if the network cannot identify the UE who transmits the RRCResumeRequest message, then the network cannot decipher the RRCResumeRequest message because the </w:t>
            </w:r>
            <w:r>
              <w:rPr>
                <w:rFonts w:cs="Arial"/>
                <w:snapToGrid w:val="0"/>
                <w:sz w:val="20"/>
                <w:szCs w:val="20"/>
              </w:rPr>
              <w:lastRenderedPageBreak/>
              <w:t xml:space="preserve">network does not know the security key used for ciphering of the RRCResumeRequest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should be limited to the case when a dedicated UL grant is available. If dedicated UL grant is not available, the UE has to send RRCResumeRequest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RRCResumeReq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b"/>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afb"/>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intented for transmission on dedicated grants, while MgsA/Msg3 grants can face contention and the UE identity is not necessarily known. The UE context may also be unknown for a RA at the target gNB. Typically the UE has an RRC connection prior to transmitting a DCCH message. We are fine with this option provided it can be decoded for msg3/msgA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D61929">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D6192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D61929">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17" w:type="dxa"/>
          </w:tcPr>
          <w:p w14:paraId="6D2E63BE" w14:textId="4F2536BA" w:rsidR="00F00F25" w:rsidRDefault="00F00F25"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D61929">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lastRenderedPageBreak/>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D61929">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D61929">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D61929">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D61929">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D61929">
            <w:pPr>
              <w:snapToGrid w:val="0"/>
              <w:rPr>
                <w:rFonts w:eastAsiaTheme="minorEastAsia" w:cs="Arial"/>
                <w:snapToGrid w:val="0"/>
                <w:sz w:val="20"/>
                <w:szCs w:val="20"/>
                <w:lang w:eastAsia="zh-CN"/>
              </w:rPr>
            </w:pPr>
          </w:p>
        </w:tc>
      </w:tr>
      <w:tr w:rsidR="00F00F25" w14:paraId="7F714084" w14:textId="77777777" w:rsidTr="00B40759">
        <w:tc>
          <w:tcPr>
            <w:tcW w:w="1166" w:type="dxa"/>
          </w:tcPr>
          <w:p w14:paraId="7E27B99A" w14:textId="36C4FAF8" w:rsidR="00F00F25" w:rsidRDefault="00F00F25" w:rsidP="00D61929">
            <w:pPr>
              <w:snapToGrid w:val="0"/>
              <w:rPr>
                <w:rFonts w:cs="Arial"/>
                <w:snapToGrid w:val="0"/>
                <w:sz w:val="20"/>
                <w:szCs w:val="20"/>
              </w:rPr>
            </w:pPr>
            <w:r>
              <w:rPr>
                <w:rFonts w:eastAsiaTheme="minorEastAsia" w:cs="Arial" w:hint="eastAsia"/>
                <w:snapToGrid w:val="0"/>
                <w:sz w:val="20"/>
                <w:szCs w:val="20"/>
                <w:lang w:eastAsia="zh-CN"/>
              </w:rPr>
              <w:t>Spreadtrum</w:t>
            </w:r>
          </w:p>
        </w:tc>
        <w:tc>
          <w:tcPr>
            <w:tcW w:w="528" w:type="dxa"/>
          </w:tcPr>
          <w:p w14:paraId="55084A1F" w14:textId="5AFF8F65" w:rsidR="00F00F25" w:rsidRDefault="00F00F25" w:rsidP="00D61929">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D61929">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D61929">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hint="eastAsia"/>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hint="eastAsia"/>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f5"/>
        <w:tblW w:w="0" w:type="auto"/>
        <w:tblLook w:val="04A0" w:firstRow="1" w:lastRow="0" w:firstColumn="1" w:lastColumn="0" w:noHBand="0" w:noVBand="1"/>
      </w:tblPr>
      <w:tblGrid>
        <w:gridCol w:w="1150"/>
        <w:gridCol w:w="528"/>
        <w:gridCol w:w="461"/>
        <w:gridCol w:w="461"/>
        <w:gridCol w:w="461"/>
        <w:gridCol w:w="461"/>
        <w:gridCol w:w="461"/>
        <w:gridCol w:w="5034"/>
      </w:tblGrid>
      <w:tr w:rsidR="00650F16" w14:paraId="77E6F2D3" w14:textId="77777777">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1843B9">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833"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1843B9">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61"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461"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461"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1843B9">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lastRenderedPageBreak/>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61"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461" w:type="dxa"/>
          </w:tcPr>
          <w:p w14:paraId="0B5EF745" w14:textId="77777777" w:rsidR="00650F16" w:rsidRDefault="00650F16">
            <w:pPr>
              <w:snapToGrid w:val="0"/>
              <w:rPr>
                <w:rFonts w:cs="Arial"/>
                <w:snapToGrid w:val="0"/>
                <w:sz w:val="20"/>
                <w:szCs w:val="20"/>
              </w:rPr>
            </w:pPr>
          </w:p>
        </w:tc>
        <w:tc>
          <w:tcPr>
            <w:tcW w:w="461"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1843B9">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61"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1843B9">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 xml:space="preserve">If any of the SN terminated bearer types are to be supported, this would need more discussion (e.g., on how to maintain and generate the S-KgNB). In general, we think we can focus on the MN terminated bearers for SDT work. </w:t>
            </w:r>
          </w:p>
        </w:tc>
      </w:tr>
      <w:tr w:rsidR="00E96515" w14:paraId="7F9B65A4" w14:textId="77777777" w:rsidTr="001843B9">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61"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1843B9">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61"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1843B9">
        <w:tc>
          <w:tcPr>
            <w:tcW w:w="1150" w:type="dxa"/>
          </w:tcPr>
          <w:p w14:paraId="3A975258" w14:textId="1A743274"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61"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1843B9">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461"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F56763">
        <w:tc>
          <w:tcPr>
            <w:tcW w:w="1150" w:type="dxa"/>
          </w:tcPr>
          <w:p w14:paraId="6700856C" w14:textId="2E0DA0F1" w:rsidR="00F56763" w:rsidRDefault="00F56763" w:rsidP="00D61929">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D61929">
            <w:pPr>
              <w:snapToGrid w:val="0"/>
              <w:rPr>
                <w:rFonts w:cs="Arial"/>
                <w:snapToGrid w:val="0"/>
                <w:sz w:val="20"/>
                <w:szCs w:val="20"/>
              </w:rPr>
            </w:pPr>
            <w:r>
              <w:rPr>
                <w:rFonts w:cs="Arial" w:hint="eastAsia"/>
                <w:snapToGrid w:val="0"/>
                <w:sz w:val="20"/>
                <w:szCs w:val="20"/>
              </w:rPr>
              <w:t>Yes</w:t>
            </w:r>
          </w:p>
        </w:tc>
        <w:tc>
          <w:tcPr>
            <w:tcW w:w="461" w:type="dxa"/>
          </w:tcPr>
          <w:p w14:paraId="40FE5767"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5C5A5E15"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11D823F9"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5034" w:type="dxa"/>
          </w:tcPr>
          <w:p w14:paraId="1B3B4A48" w14:textId="77777777" w:rsidR="00F56763" w:rsidRDefault="00F56763" w:rsidP="00D61929">
            <w:pPr>
              <w:snapToGrid w:val="0"/>
              <w:rPr>
                <w:rFonts w:eastAsiaTheme="minorEastAsia" w:cs="Arial"/>
                <w:snapToGrid w:val="0"/>
                <w:sz w:val="20"/>
                <w:szCs w:val="20"/>
                <w:lang w:eastAsia="zh-CN"/>
              </w:rPr>
            </w:pPr>
          </w:p>
        </w:tc>
      </w:tr>
      <w:tr w:rsidR="00F00F25" w14:paraId="4ED73FF5" w14:textId="77777777" w:rsidTr="00F56763">
        <w:tc>
          <w:tcPr>
            <w:tcW w:w="1150" w:type="dxa"/>
          </w:tcPr>
          <w:p w14:paraId="46D5B6E3" w14:textId="443C9138" w:rsidR="00F00F25" w:rsidRDefault="00F00F25"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528" w:type="dxa"/>
          </w:tcPr>
          <w:p w14:paraId="0FD5F93C" w14:textId="629BD7ED" w:rsidR="00F00F25" w:rsidRDefault="00F00F25" w:rsidP="00D61929">
            <w:pPr>
              <w:snapToGrid w:val="0"/>
              <w:rPr>
                <w:rFonts w:cs="Arial"/>
                <w:snapToGrid w:val="0"/>
                <w:sz w:val="20"/>
                <w:szCs w:val="20"/>
                <w:lang w:eastAsia="zh-CN"/>
              </w:rPr>
            </w:pPr>
            <w:r>
              <w:rPr>
                <w:rFonts w:cs="Arial" w:hint="eastAsia"/>
                <w:snapToGrid w:val="0"/>
                <w:sz w:val="20"/>
                <w:szCs w:val="20"/>
                <w:lang w:eastAsia="zh-CN"/>
              </w:rPr>
              <w:t>Yes</w:t>
            </w:r>
          </w:p>
        </w:tc>
        <w:tc>
          <w:tcPr>
            <w:tcW w:w="461" w:type="dxa"/>
          </w:tcPr>
          <w:p w14:paraId="1EC73350" w14:textId="0FB77CFC" w:rsidR="00F00F25" w:rsidRDefault="00F00F25" w:rsidP="00D61929">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D61929">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678940CF" w14:textId="4F160768" w:rsidR="00F00F25" w:rsidRDefault="00F00F25" w:rsidP="00D61929">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17882E40" w14:textId="1B27033D" w:rsidR="00F00F25" w:rsidRDefault="00F00F25" w:rsidP="00D61929">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D61929">
            <w:pPr>
              <w:snapToGrid w:val="0"/>
              <w:rPr>
                <w:rFonts w:cs="Arial"/>
                <w:snapToGrid w:val="0"/>
                <w:sz w:val="20"/>
                <w:szCs w:val="20"/>
                <w:lang w:eastAsia="zh-CN"/>
              </w:rPr>
            </w:pPr>
            <w:r>
              <w:rPr>
                <w:rFonts w:cs="Arial" w:hint="eastAsia"/>
                <w:snapToGrid w:val="0"/>
                <w:sz w:val="20"/>
                <w:szCs w:val="20"/>
                <w:lang w:eastAsia="zh-CN"/>
              </w:rPr>
              <w:t>No</w:t>
            </w:r>
          </w:p>
        </w:tc>
        <w:tc>
          <w:tcPr>
            <w:tcW w:w="5034" w:type="dxa"/>
          </w:tcPr>
          <w:p w14:paraId="1AEB4588" w14:textId="77777777" w:rsidR="00F00F25" w:rsidRDefault="00F00F25" w:rsidP="00D61929">
            <w:pPr>
              <w:snapToGrid w:val="0"/>
              <w:rPr>
                <w:rFonts w:eastAsiaTheme="minorEastAsia" w:cs="Arial"/>
                <w:snapToGrid w:val="0"/>
                <w:sz w:val="20"/>
                <w:szCs w:val="20"/>
                <w:lang w:eastAsia="zh-CN"/>
              </w:rPr>
            </w:pPr>
          </w:p>
        </w:tc>
      </w:tr>
      <w:tr w:rsidR="00760EB8" w14:paraId="51E45E82" w14:textId="77777777" w:rsidTr="00F56763">
        <w:tc>
          <w:tcPr>
            <w:tcW w:w="1150" w:type="dxa"/>
          </w:tcPr>
          <w:p w14:paraId="3DFD9150" w14:textId="17ABA2D1" w:rsidR="00760EB8" w:rsidRDefault="00760EB8" w:rsidP="00760EB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hint="eastAsia"/>
                <w:snapToGrid w:val="0"/>
                <w:sz w:val="20"/>
                <w:szCs w:val="20"/>
                <w:lang w:eastAsia="zh-CN"/>
              </w:rPr>
            </w:pPr>
            <w:r>
              <w:rPr>
                <w:rFonts w:cs="Arial" w:hint="eastAsia"/>
                <w:snapToGrid w:val="0"/>
                <w:sz w:val="20"/>
                <w:szCs w:val="20"/>
              </w:rPr>
              <w:t>Yes</w:t>
            </w:r>
          </w:p>
        </w:tc>
        <w:tc>
          <w:tcPr>
            <w:tcW w:w="461" w:type="dxa"/>
          </w:tcPr>
          <w:p w14:paraId="31CC8A36" w14:textId="2D3CE3B4" w:rsidR="00760EB8" w:rsidRDefault="00760EB8" w:rsidP="00760EB8">
            <w:pPr>
              <w:snapToGrid w:val="0"/>
              <w:rPr>
                <w:rFonts w:cs="Arial" w:hint="eastAsia"/>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hint="eastAsia"/>
                <w:snapToGrid w:val="0"/>
                <w:sz w:val="20"/>
                <w:szCs w:val="20"/>
                <w:lang w:eastAsia="zh-CN"/>
              </w:rPr>
            </w:pPr>
            <w:r>
              <w:rPr>
                <w:rFonts w:cs="Arial" w:hint="eastAsia"/>
                <w:snapToGrid w:val="0"/>
                <w:sz w:val="20"/>
                <w:szCs w:val="20"/>
              </w:rPr>
              <w:t>No</w:t>
            </w:r>
          </w:p>
        </w:tc>
        <w:tc>
          <w:tcPr>
            <w:tcW w:w="461" w:type="dxa"/>
          </w:tcPr>
          <w:p w14:paraId="1EF48170" w14:textId="35590139" w:rsidR="00760EB8" w:rsidRDefault="00760EB8" w:rsidP="00760EB8">
            <w:pPr>
              <w:snapToGrid w:val="0"/>
              <w:rPr>
                <w:rFonts w:cs="Arial" w:hint="eastAsia"/>
                <w:snapToGrid w:val="0"/>
                <w:sz w:val="20"/>
                <w:szCs w:val="20"/>
                <w:lang w:eastAsia="zh-CN"/>
              </w:rPr>
            </w:pPr>
            <w:r>
              <w:rPr>
                <w:rFonts w:cs="Arial" w:hint="eastAsia"/>
                <w:snapToGrid w:val="0"/>
                <w:sz w:val="20"/>
                <w:szCs w:val="20"/>
              </w:rPr>
              <w:t>No</w:t>
            </w:r>
          </w:p>
        </w:tc>
        <w:tc>
          <w:tcPr>
            <w:tcW w:w="461" w:type="dxa"/>
          </w:tcPr>
          <w:p w14:paraId="251660F5" w14:textId="3290A8E5" w:rsidR="00760EB8" w:rsidRDefault="00760EB8" w:rsidP="00760EB8">
            <w:pPr>
              <w:snapToGrid w:val="0"/>
              <w:rPr>
                <w:rFonts w:cs="Arial" w:hint="eastAsia"/>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hint="eastAsia"/>
                <w:snapToGrid w:val="0"/>
                <w:sz w:val="20"/>
                <w:szCs w:val="20"/>
                <w:lang w:eastAsia="zh-CN"/>
              </w:rPr>
            </w:pPr>
            <w:r>
              <w:rPr>
                <w:rFonts w:cs="Arial" w:hint="eastAsia"/>
                <w:snapToGrid w:val="0"/>
                <w:sz w:val="20"/>
                <w:szCs w:val="20"/>
              </w:rPr>
              <w:t>No</w:t>
            </w:r>
          </w:p>
        </w:tc>
        <w:tc>
          <w:tcPr>
            <w:tcW w:w="5034" w:type="dxa"/>
          </w:tcPr>
          <w:p w14:paraId="1925957B" w14:textId="77777777" w:rsidR="00760EB8" w:rsidRDefault="00760EB8" w:rsidP="00760EB8">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77777777" w:rsidR="00650F16" w:rsidRDefault="00650F16">
      <w:pPr>
        <w:pStyle w:val="afb"/>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t>References</w:t>
      </w:r>
    </w:p>
    <w:p w14:paraId="44635644" w14:textId="77777777" w:rsidR="00650F16" w:rsidRDefault="00FC00DF">
      <w:pPr>
        <w:pStyle w:val="afb"/>
        <w:numPr>
          <w:ilvl w:val="0"/>
          <w:numId w:val="13"/>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14:paraId="31F134EA" w14:textId="77777777" w:rsidR="00650F16" w:rsidRDefault="00650F16">
      <w:pPr>
        <w:pStyle w:val="afb"/>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r w:rsidRPr="00121CE2">
              <w:rPr>
                <w:rFonts w:hint="eastAsia"/>
                <w:lang w:val="fr-FR"/>
              </w:rPr>
              <w:t>SeungJune Yi (</w:t>
            </w:r>
            <w:hyperlink r:id="rId13" w:history="1">
              <w:r w:rsidRPr="00121CE2">
                <w:rPr>
                  <w:rStyle w:val="af8"/>
                  <w:rFonts w:hint="eastAsia"/>
                  <w:lang w:val="fr-FR"/>
                </w:rPr>
                <w:t>seungjune.yi@lge.com</w:t>
              </w:r>
            </w:hyperlink>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760EB8"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r w:rsidRPr="00121CE2">
              <w:rPr>
                <w:lang w:val="fr-FR" w:eastAsia="en-GB"/>
              </w:rPr>
              <w:t>Jussi Koskinen (</w:t>
            </w:r>
            <w:hyperlink r:id="rId14" w:history="1">
              <w:r w:rsidRPr="00121CE2">
                <w:rPr>
                  <w:rStyle w:val="af8"/>
                  <w:lang w:val="fr-FR" w:eastAsia="en-GB"/>
                </w:rPr>
                <w:t>Jussi-pekka.koskinen@nokia.com</w:t>
              </w:r>
            </w:hyperlink>
            <w:r w:rsidRPr="00121CE2">
              <w:rPr>
                <w:lang w:val="fr-FR" w:eastAsia="en-GB"/>
              </w:rPr>
              <w:t>)</w:t>
            </w:r>
          </w:p>
        </w:tc>
        <w:tc>
          <w:tcPr>
            <w:tcW w:w="5289" w:type="dxa"/>
          </w:tcPr>
          <w:p w14:paraId="3CB1F651" w14:textId="77777777" w:rsidR="00650F16" w:rsidRPr="00121CE2" w:rsidRDefault="00054D3D">
            <w:pPr>
              <w:rPr>
                <w:lang w:val="fr-FR"/>
              </w:rPr>
            </w:pPr>
            <w:hyperlink r:id="rId15" w:history="1">
              <w:r w:rsidR="00FC00DF" w:rsidRPr="00121CE2">
                <w:rPr>
                  <w:rStyle w:val="af8"/>
                  <w:lang w:val="fr-FR" w:eastAsia="en-GB"/>
                </w:rPr>
                <w:t>Jussi-pekka.koskinen@nokia.com</w:t>
              </w:r>
            </w:hyperlink>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Anil Agiwal (</w:t>
            </w:r>
            <w:hyperlink r:id="rId16" w:history="1">
              <w:r w:rsidRPr="00B84851">
                <w:rPr>
                  <w:rStyle w:val="af8"/>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7" w:history="1">
              <w:r w:rsidR="00A12880" w:rsidRPr="00121CE2">
                <w:rPr>
                  <w:rStyle w:val="af8"/>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50008" w14:paraId="429A3B51" w14:textId="77777777">
        <w:tc>
          <w:tcPr>
            <w:tcW w:w="2689" w:type="dxa"/>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7889" w:type="dxa"/>
          </w:tcPr>
          <w:p w14:paraId="23E3BEEF" w14:textId="47FCB15A" w:rsidR="00650F16" w:rsidRPr="00950008" w:rsidRDefault="00950008">
            <w:pPr>
              <w:rPr>
                <w:rFonts w:eastAsiaTheme="minorEastAsia"/>
                <w:lang w:eastAsia="zh-CN"/>
              </w:rPr>
            </w:pPr>
            <w:r w:rsidRPr="00950008">
              <w:rPr>
                <w:rFonts w:eastAsiaTheme="minorEastAsia"/>
                <w:lang w:eastAsia="zh-CN"/>
              </w:rPr>
              <w:t>Faris Alfarhan (</w:t>
            </w:r>
            <w:hyperlink r:id="rId18" w:history="1">
              <w:r w:rsidRPr="008C7530">
                <w:rPr>
                  <w:rStyle w:val="af8"/>
                  <w:rFonts w:eastAsiaTheme="minorEastAsia"/>
                  <w:lang w:eastAsia="zh-CN"/>
                </w:rPr>
                <w:t>faris.alfarhan@interdigital.com</w:t>
              </w:r>
            </w:hyperlink>
            <w:r>
              <w:rPr>
                <w:rFonts w:eastAsiaTheme="minorEastAsia"/>
                <w:lang w:eastAsia="zh-CN"/>
              </w:rPr>
              <w:t>)</w:t>
            </w:r>
          </w:p>
        </w:tc>
        <w:tc>
          <w:tcPr>
            <w:tcW w:w="5289" w:type="dxa"/>
          </w:tcPr>
          <w:p w14:paraId="73208BA5" w14:textId="77777777" w:rsidR="00650F16" w:rsidRPr="00950008" w:rsidRDefault="00650F16">
            <w:pPr>
              <w:rPr>
                <w:rFonts w:eastAsiaTheme="minorEastAsia"/>
                <w:lang w:eastAsia="zh-CN"/>
              </w:rPr>
            </w:pPr>
          </w:p>
        </w:tc>
      </w:tr>
      <w:tr w:rsidR="00650F16" w:rsidRPr="00950008" w14:paraId="7C933E9A" w14:textId="77777777">
        <w:tc>
          <w:tcPr>
            <w:tcW w:w="2689" w:type="dxa"/>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7889" w:type="dxa"/>
          </w:tcPr>
          <w:p w14:paraId="56B0BAC1" w14:textId="58B60730" w:rsidR="00650F16" w:rsidRPr="008929B2" w:rsidRDefault="008929B2">
            <w:pPr>
              <w:rPr>
                <w:rFonts w:eastAsia="Malgun Gothic"/>
              </w:rPr>
            </w:pPr>
            <w:r>
              <w:rPr>
                <w:rFonts w:eastAsia="Malgun Gothic" w:hint="eastAsia"/>
              </w:rPr>
              <w:t>J</w:t>
            </w:r>
            <w:r>
              <w:rPr>
                <w:rFonts w:eastAsia="Malgun Gothic"/>
              </w:rPr>
              <w:t>aeheung Kim (</w:t>
            </w:r>
            <w:hyperlink r:id="rId19" w:history="1">
              <w:r w:rsidRPr="00D140D2">
                <w:rPr>
                  <w:rStyle w:val="af8"/>
                  <w:rFonts w:eastAsia="Malgun Gothic"/>
                </w:rPr>
                <w:t>kimjh@etri.re.kr</w:t>
              </w:r>
            </w:hyperlink>
            <w:r>
              <w:rPr>
                <w:rFonts w:eastAsia="Malgun Gothic"/>
              </w:rPr>
              <w:t xml:space="preserve">) </w:t>
            </w:r>
          </w:p>
        </w:tc>
        <w:tc>
          <w:tcPr>
            <w:tcW w:w="5289" w:type="dxa"/>
          </w:tcPr>
          <w:p w14:paraId="54F95734" w14:textId="77777777" w:rsidR="00650F16" w:rsidRPr="00950008" w:rsidRDefault="00650F16">
            <w:pPr>
              <w:rPr>
                <w:rFonts w:eastAsiaTheme="minorEastAsia"/>
                <w:lang w:eastAsia="zh-CN"/>
              </w:rPr>
            </w:pPr>
          </w:p>
        </w:tc>
      </w:tr>
      <w:tr w:rsidR="00650F16" w:rsidRPr="00950008" w14:paraId="7AE95EB8" w14:textId="77777777">
        <w:tc>
          <w:tcPr>
            <w:tcW w:w="2689" w:type="dxa"/>
          </w:tcPr>
          <w:p w14:paraId="37D59C8C" w14:textId="1A224818" w:rsidR="00650F16" w:rsidRPr="00950008" w:rsidRDefault="00B9164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889" w:type="dxa"/>
          </w:tcPr>
          <w:p w14:paraId="18E3716A" w14:textId="68A7E4D5" w:rsidR="00650F16" w:rsidRPr="00950008" w:rsidRDefault="00B91642">
            <w:pPr>
              <w:rPr>
                <w:rFonts w:eastAsiaTheme="minorEastAsia"/>
                <w:lang w:eastAsia="zh-CN"/>
              </w:rPr>
            </w:pPr>
            <w:r>
              <w:rPr>
                <w:rFonts w:eastAsiaTheme="minorEastAsia" w:hint="eastAsia"/>
                <w:lang w:eastAsia="zh-CN"/>
              </w:rPr>
              <w:t>Lifeng Han (</w:t>
            </w:r>
            <w:r w:rsidRPr="00B91642">
              <w:rPr>
                <w:rStyle w:val="af8"/>
                <w:rFonts w:eastAsia="Malgun Gothic"/>
              </w:rPr>
              <w:t>Lifeng.Han@unisoc.com</w:t>
            </w:r>
            <w:r>
              <w:rPr>
                <w:rFonts w:eastAsiaTheme="minorEastAsia" w:hint="eastAsia"/>
                <w:lang w:eastAsia="zh-CN"/>
              </w:rPr>
              <w:t>)</w:t>
            </w:r>
          </w:p>
        </w:tc>
        <w:tc>
          <w:tcPr>
            <w:tcW w:w="5289" w:type="dxa"/>
          </w:tcPr>
          <w:p w14:paraId="6882BF14" w14:textId="77777777" w:rsidR="00650F16" w:rsidRPr="00950008" w:rsidRDefault="00650F16">
            <w:pPr>
              <w:rPr>
                <w:rFonts w:eastAsiaTheme="minorEastAsia"/>
                <w:lang w:eastAsia="zh-CN"/>
              </w:rPr>
            </w:pPr>
          </w:p>
        </w:tc>
      </w:tr>
      <w:tr w:rsidR="00650F16" w:rsidRPr="00950008" w14:paraId="5F11EA37" w14:textId="77777777">
        <w:tc>
          <w:tcPr>
            <w:tcW w:w="2689" w:type="dxa"/>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7889" w:type="dxa"/>
          </w:tcPr>
          <w:p w14:paraId="6A8CC68F" w14:textId="2ED56F4D" w:rsidR="00650F16" w:rsidRPr="00B91642" w:rsidRDefault="00760EB8">
            <w:pPr>
              <w:rPr>
                <w:rFonts w:eastAsiaTheme="minorEastAsia"/>
                <w:lang w:eastAsia="zh-CN"/>
              </w:rPr>
            </w:pPr>
            <w:r>
              <w:rPr>
                <w:rFonts w:eastAsiaTheme="minorEastAsia" w:hint="eastAsia"/>
                <w:lang w:eastAsia="zh-CN"/>
              </w:rPr>
              <w:t>W</w:t>
            </w:r>
            <w:r>
              <w:rPr>
                <w:rFonts w:eastAsiaTheme="minorEastAsia"/>
                <w:lang w:eastAsia="zh-CN"/>
              </w:rPr>
              <w:t>angda (</w:t>
            </w:r>
            <w:hyperlink r:id="rId20" w:history="1">
              <w:r w:rsidRPr="004547EF">
                <w:rPr>
                  <w:rStyle w:val="af8"/>
                  <w:rFonts w:eastAsiaTheme="minorEastAsia"/>
                  <w:lang w:eastAsia="zh-CN"/>
                </w:rPr>
                <w:t>wang_da@nec.cn</w:t>
              </w:r>
            </w:hyperlink>
            <w:r>
              <w:rPr>
                <w:rFonts w:eastAsiaTheme="minorEastAsia"/>
                <w:lang w:eastAsia="zh-CN"/>
              </w:rPr>
              <w:t xml:space="preserve"> )</w:t>
            </w:r>
          </w:p>
        </w:tc>
        <w:tc>
          <w:tcPr>
            <w:tcW w:w="5289" w:type="dxa"/>
          </w:tcPr>
          <w:p w14:paraId="35AA3DCE" w14:textId="77777777" w:rsidR="00650F16" w:rsidRPr="00950008" w:rsidRDefault="00650F16">
            <w:pPr>
              <w:rPr>
                <w:rFonts w:eastAsiaTheme="minorEastAsia"/>
                <w:lang w:eastAsia="zh-CN"/>
              </w:rPr>
            </w:pPr>
          </w:p>
        </w:tc>
      </w:tr>
      <w:tr w:rsidR="00650F16" w:rsidRPr="00950008" w14:paraId="277A1001" w14:textId="77777777">
        <w:tc>
          <w:tcPr>
            <w:tcW w:w="2689" w:type="dxa"/>
          </w:tcPr>
          <w:p w14:paraId="4D532CC7" w14:textId="77777777" w:rsidR="00650F16" w:rsidRPr="00950008" w:rsidRDefault="00650F16">
            <w:pPr>
              <w:rPr>
                <w:rFonts w:eastAsiaTheme="minorEastAsia"/>
                <w:lang w:eastAsia="zh-CN"/>
              </w:rPr>
            </w:pPr>
          </w:p>
        </w:tc>
        <w:tc>
          <w:tcPr>
            <w:tcW w:w="7889" w:type="dxa"/>
          </w:tcPr>
          <w:p w14:paraId="0AE99E3F" w14:textId="77777777" w:rsidR="00650F16" w:rsidRPr="00760EB8" w:rsidRDefault="00650F16">
            <w:pPr>
              <w:rPr>
                <w:rFonts w:eastAsiaTheme="minorEastAsia"/>
                <w:lang w:eastAsia="zh-CN"/>
              </w:rPr>
            </w:pPr>
            <w:bookmarkStart w:id="3" w:name="_GoBack"/>
            <w:bookmarkEnd w:id="3"/>
          </w:p>
        </w:tc>
        <w:tc>
          <w:tcPr>
            <w:tcW w:w="5289" w:type="dxa"/>
          </w:tcPr>
          <w:p w14:paraId="3F688318" w14:textId="77777777" w:rsidR="00650F16" w:rsidRPr="00950008" w:rsidRDefault="00650F16">
            <w:pPr>
              <w:rPr>
                <w:rFonts w:eastAsiaTheme="minorEastAsia"/>
                <w:lang w:eastAsia="zh-CN"/>
              </w:rPr>
            </w:pPr>
          </w:p>
        </w:tc>
      </w:tr>
      <w:tr w:rsidR="00650F16" w:rsidRPr="00950008" w14:paraId="1036FF2E" w14:textId="77777777">
        <w:tc>
          <w:tcPr>
            <w:tcW w:w="2689" w:type="dxa"/>
          </w:tcPr>
          <w:p w14:paraId="10C4B981" w14:textId="77777777" w:rsidR="00650F16" w:rsidRPr="00950008" w:rsidRDefault="00650F16">
            <w:pPr>
              <w:rPr>
                <w:rFonts w:eastAsiaTheme="minorEastAsia"/>
                <w:lang w:eastAsia="zh-CN"/>
              </w:rPr>
            </w:pPr>
          </w:p>
        </w:tc>
        <w:tc>
          <w:tcPr>
            <w:tcW w:w="7889" w:type="dxa"/>
          </w:tcPr>
          <w:p w14:paraId="660D33BF" w14:textId="77777777" w:rsidR="00650F16" w:rsidRPr="00950008" w:rsidRDefault="00650F16">
            <w:pPr>
              <w:rPr>
                <w:rFonts w:eastAsia="PMingLiU"/>
                <w:lang w:eastAsia="zh-TW"/>
              </w:rPr>
            </w:pPr>
          </w:p>
        </w:tc>
        <w:tc>
          <w:tcPr>
            <w:tcW w:w="5289" w:type="dxa"/>
          </w:tcPr>
          <w:p w14:paraId="238714D5" w14:textId="77777777" w:rsidR="00650F16" w:rsidRPr="00950008" w:rsidRDefault="00650F16">
            <w:pPr>
              <w:rPr>
                <w:rFonts w:eastAsia="PMingLiU"/>
                <w:lang w:eastAsia="zh-TW"/>
              </w:rPr>
            </w:pPr>
          </w:p>
        </w:tc>
      </w:tr>
      <w:tr w:rsidR="00650F16" w:rsidRPr="00950008" w14:paraId="0CC7A220" w14:textId="77777777">
        <w:tc>
          <w:tcPr>
            <w:tcW w:w="2689" w:type="dxa"/>
          </w:tcPr>
          <w:p w14:paraId="28E84C59" w14:textId="77777777" w:rsidR="00650F16" w:rsidRPr="00950008" w:rsidRDefault="00650F16">
            <w:pPr>
              <w:rPr>
                <w:rFonts w:eastAsiaTheme="minorEastAsia"/>
                <w:lang w:eastAsia="zh-CN"/>
              </w:rPr>
            </w:pPr>
          </w:p>
        </w:tc>
        <w:tc>
          <w:tcPr>
            <w:tcW w:w="7889" w:type="dxa"/>
          </w:tcPr>
          <w:p w14:paraId="72C5B47E" w14:textId="77777777" w:rsidR="00650F16" w:rsidRPr="00950008" w:rsidRDefault="00650F16">
            <w:pPr>
              <w:rPr>
                <w:rFonts w:eastAsia="PMingLiU"/>
                <w:lang w:eastAsia="zh-TW"/>
              </w:rPr>
            </w:pPr>
          </w:p>
        </w:tc>
        <w:tc>
          <w:tcPr>
            <w:tcW w:w="5289" w:type="dxa"/>
          </w:tcPr>
          <w:p w14:paraId="25AA2E86" w14:textId="77777777" w:rsidR="00650F16" w:rsidRPr="00950008" w:rsidRDefault="00650F16">
            <w:pPr>
              <w:rPr>
                <w:rFonts w:eastAsia="PMingLiU"/>
                <w:lang w:eastAsia="zh-TW"/>
              </w:rPr>
            </w:pPr>
          </w:p>
        </w:tc>
      </w:tr>
      <w:tr w:rsidR="00650F16" w:rsidRPr="00950008" w14:paraId="59883679" w14:textId="77777777">
        <w:tc>
          <w:tcPr>
            <w:tcW w:w="2689" w:type="dxa"/>
          </w:tcPr>
          <w:p w14:paraId="61A35820" w14:textId="77777777" w:rsidR="00650F16" w:rsidRPr="00950008" w:rsidRDefault="00650F16">
            <w:pPr>
              <w:rPr>
                <w:rFonts w:eastAsiaTheme="minorEastAsia"/>
                <w:lang w:eastAsia="zh-CN"/>
              </w:rPr>
            </w:pPr>
          </w:p>
        </w:tc>
        <w:tc>
          <w:tcPr>
            <w:tcW w:w="7889" w:type="dxa"/>
          </w:tcPr>
          <w:p w14:paraId="5278ADCC" w14:textId="77777777" w:rsidR="00650F16" w:rsidRPr="00950008" w:rsidRDefault="00650F16">
            <w:pPr>
              <w:rPr>
                <w:rFonts w:eastAsiaTheme="minorEastAsia"/>
                <w:lang w:eastAsia="zh-CN"/>
              </w:rPr>
            </w:pPr>
          </w:p>
        </w:tc>
        <w:tc>
          <w:tcPr>
            <w:tcW w:w="5289" w:type="dxa"/>
          </w:tcPr>
          <w:p w14:paraId="7AB053B5" w14:textId="77777777" w:rsidR="00650F16" w:rsidRPr="00950008" w:rsidRDefault="00650F16">
            <w:pPr>
              <w:rPr>
                <w:rFonts w:eastAsiaTheme="minorEastAsia"/>
                <w:lang w:eastAsia="zh-CN"/>
              </w:rPr>
            </w:pPr>
          </w:p>
        </w:tc>
      </w:tr>
      <w:tr w:rsidR="00650F16" w:rsidRPr="00950008" w14:paraId="2F560ABE" w14:textId="77777777">
        <w:tc>
          <w:tcPr>
            <w:tcW w:w="2689" w:type="dxa"/>
          </w:tcPr>
          <w:p w14:paraId="599E9333" w14:textId="77777777" w:rsidR="00650F16" w:rsidRPr="00950008" w:rsidRDefault="00650F16">
            <w:pPr>
              <w:rPr>
                <w:rFonts w:eastAsiaTheme="minorEastAsia"/>
                <w:lang w:eastAsia="zh-CN"/>
              </w:rPr>
            </w:pPr>
          </w:p>
        </w:tc>
        <w:tc>
          <w:tcPr>
            <w:tcW w:w="7889" w:type="dxa"/>
          </w:tcPr>
          <w:p w14:paraId="3382042A" w14:textId="77777777" w:rsidR="00650F16" w:rsidRPr="00950008" w:rsidRDefault="00650F16">
            <w:pPr>
              <w:rPr>
                <w:rFonts w:eastAsiaTheme="minorEastAsia"/>
                <w:lang w:eastAsia="zh-CN"/>
              </w:rPr>
            </w:pPr>
          </w:p>
        </w:tc>
        <w:tc>
          <w:tcPr>
            <w:tcW w:w="5289" w:type="dxa"/>
          </w:tcPr>
          <w:p w14:paraId="1DE683AB" w14:textId="77777777" w:rsidR="00650F16" w:rsidRPr="00950008" w:rsidRDefault="00650F16"/>
        </w:tc>
      </w:tr>
      <w:tr w:rsidR="00650F16" w:rsidRPr="00950008" w14:paraId="6A054DE8" w14:textId="77777777">
        <w:tc>
          <w:tcPr>
            <w:tcW w:w="2689" w:type="dxa"/>
          </w:tcPr>
          <w:p w14:paraId="12E6E9C7" w14:textId="77777777" w:rsidR="00650F16" w:rsidRPr="00950008" w:rsidRDefault="00650F16">
            <w:pPr>
              <w:rPr>
                <w:rFonts w:eastAsiaTheme="minorEastAsia"/>
                <w:lang w:eastAsia="zh-CN"/>
              </w:rPr>
            </w:pPr>
          </w:p>
        </w:tc>
        <w:tc>
          <w:tcPr>
            <w:tcW w:w="7889" w:type="dxa"/>
          </w:tcPr>
          <w:p w14:paraId="3FA32719" w14:textId="77777777" w:rsidR="00650F16" w:rsidRPr="00950008" w:rsidRDefault="00650F16">
            <w:pPr>
              <w:rPr>
                <w:rFonts w:eastAsiaTheme="minorEastAsia"/>
                <w:lang w:eastAsia="zh-CN"/>
              </w:rPr>
            </w:pPr>
          </w:p>
        </w:tc>
        <w:tc>
          <w:tcPr>
            <w:tcW w:w="5289" w:type="dxa"/>
          </w:tcPr>
          <w:p w14:paraId="711FBF93" w14:textId="77777777" w:rsidR="00650F16" w:rsidRPr="00950008" w:rsidRDefault="00650F16">
            <w:pPr>
              <w:rPr>
                <w:rFonts w:eastAsiaTheme="minorEastAsia"/>
                <w:lang w:eastAsia="zh-CN"/>
              </w:rPr>
            </w:pPr>
          </w:p>
        </w:tc>
      </w:tr>
      <w:tr w:rsidR="00650F16" w:rsidRPr="00950008" w14:paraId="1AE27DEB" w14:textId="77777777">
        <w:tc>
          <w:tcPr>
            <w:tcW w:w="2689" w:type="dxa"/>
          </w:tcPr>
          <w:p w14:paraId="688A9F83" w14:textId="77777777" w:rsidR="00650F16" w:rsidRPr="00950008" w:rsidRDefault="00650F16">
            <w:pPr>
              <w:rPr>
                <w:rFonts w:eastAsiaTheme="minorEastAsia"/>
                <w:lang w:eastAsia="zh-CN"/>
              </w:rPr>
            </w:pPr>
          </w:p>
        </w:tc>
        <w:tc>
          <w:tcPr>
            <w:tcW w:w="7889" w:type="dxa"/>
          </w:tcPr>
          <w:p w14:paraId="29164373" w14:textId="77777777" w:rsidR="00650F16" w:rsidRPr="00950008" w:rsidRDefault="00650F16">
            <w:pPr>
              <w:rPr>
                <w:rFonts w:eastAsiaTheme="minorEastAsia"/>
                <w:lang w:eastAsia="zh-CN"/>
              </w:rPr>
            </w:pPr>
          </w:p>
        </w:tc>
        <w:tc>
          <w:tcPr>
            <w:tcW w:w="5289" w:type="dxa"/>
          </w:tcPr>
          <w:p w14:paraId="56266AF8" w14:textId="77777777" w:rsidR="00650F16" w:rsidRPr="00950008" w:rsidRDefault="00650F16">
            <w:pPr>
              <w:rPr>
                <w:rFonts w:eastAsiaTheme="minorEastAsia"/>
                <w:lang w:eastAsia="zh-CN"/>
              </w:rPr>
            </w:pPr>
          </w:p>
        </w:tc>
      </w:tr>
    </w:tbl>
    <w:p w14:paraId="7E056155" w14:textId="77777777" w:rsidR="00650F16" w:rsidRPr="00950008" w:rsidRDefault="00650F16">
      <w:pPr>
        <w:rPr>
          <w:lang w:eastAsia="en-GB"/>
        </w:rPr>
      </w:pPr>
    </w:p>
    <w:p w14:paraId="2F73E63A" w14:textId="77777777" w:rsidR="00650F16" w:rsidRPr="00950008" w:rsidRDefault="00650F16">
      <w:pPr>
        <w:pStyle w:val="afb"/>
        <w:ind w:left="360"/>
        <w:rPr>
          <w:lang w:eastAsia="en-GB"/>
        </w:rPr>
      </w:pPr>
    </w:p>
    <w:sectPr w:rsidR="00650F16" w:rsidRPr="00950008">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C5D27" w14:textId="77777777" w:rsidR="00054D3D" w:rsidRDefault="00054D3D">
      <w:pPr>
        <w:spacing w:after="0" w:line="240" w:lineRule="auto"/>
      </w:pPr>
      <w:r>
        <w:separator/>
      </w:r>
    </w:p>
  </w:endnote>
  <w:endnote w:type="continuationSeparator" w:id="0">
    <w:p w14:paraId="2A2BC131" w14:textId="77777777" w:rsidR="00054D3D" w:rsidRDefault="0005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modern"/>
    <w:pitch w:val="variable"/>
    <w:sig w:usb0="00000000" w:usb1="69D77CFB" w:usb2="00000030" w:usb3="00000000" w:csb0="0008009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C30C" w14:textId="77777777" w:rsidR="00054D3D" w:rsidRDefault="00054D3D">
      <w:pPr>
        <w:spacing w:after="0" w:line="240" w:lineRule="auto"/>
      </w:pPr>
      <w:r>
        <w:separator/>
      </w:r>
    </w:p>
  </w:footnote>
  <w:footnote w:type="continuationSeparator" w:id="0">
    <w:p w14:paraId="71C824A1" w14:textId="77777777" w:rsidR="00054D3D" w:rsidRDefault="00054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53EA"/>
    <w:rsid w:val="00053350"/>
    <w:rsid w:val="0005451A"/>
    <w:rsid w:val="00054D3D"/>
    <w:rsid w:val="000658E0"/>
    <w:rsid w:val="000659A9"/>
    <w:rsid w:val="00065ECB"/>
    <w:rsid w:val="00091FEB"/>
    <w:rsid w:val="0009651D"/>
    <w:rsid w:val="000B3630"/>
    <w:rsid w:val="000B48FC"/>
    <w:rsid w:val="000C6292"/>
    <w:rsid w:val="000F50E3"/>
    <w:rsid w:val="00114476"/>
    <w:rsid w:val="00120347"/>
    <w:rsid w:val="0012125C"/>
    <w:rsid w:val="00121CE2"/>
    <w:rsid w:val="0013540E"/>
    <w:rsid w:val="001679DC"/>
    <w:rsid w:val="001703AC"/>
    <w:rsid w:val="001838D4"/>
    <w:rsid w:val="001843B9"/>
    <w:rsid w:val="001A7887"/>
    <w:rsid w:val="001C45CE"/>
    <w:rsid w:val="001F5226"/>
    <w:rsid w:val="00233906"/>
    <w:rsid w:val="00235DE7"/>
    <w:rsid w:val="00240B69"/>
    <w:rsid w:val="00256FE7"/>
    <w:rsid w:val="002B1457"/>
    <w:rsid w:val="002F1A07"/>
    <w:rsid w:val="00300091"/>
    <w:rsid w:val="00327411"/>
    <w:rsid w:val="00343ADA"/>
    <w:rsid w:val="00362BDD"/>
    <w:rsid w:val="003A04C1"/>
    <w:rsid w:val="003D29D7"/>
    <w:rsid w:val="003E61AE"/>
    <w:rsid w:val="003F36F2"/>
    <w:rsid w:val="00407594"/>
    <w:rsid w:val="0042707A"/>
    <w:rsid w:val="0047722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711A5C"/>
    <w:rsid w:val="007166C2"/>
    <w:rsid w:val="00760EB8"/>
    <w:rsid w:val="00770FB4"/>
    <w:rsid w:val="00773BD3"/>
    <w:rsid w:val="007A334C"/>
    <w:rsid w:val="007E236E"/>
    <w:rsid w:val="007E7BD6"/>
    <w:rsid w:val="00823F27"/>
    <w:rsid w:val="0084132B"/>
    <w:rsid w:val="00844F26"/>
    <w:rsid w:val="008929B2"/>
    <w:rsid w:val="008E593E"/>
    <w:rsid w:val="008F22C0"/>
    <w:rsid w:val="008F53C6"/>
    <w:rsid w:val="00940213"/>
    <w:rsid w:val="00944333"/>
    <w:rsid w:val="00950008"/>
    <w:rsid w:val="00973DAD"/>
    <w:rsid w:val="00977CFF"/>
    <w:rsid w:val="009A1CD2"/>
    <w:rsid w:val="009A26B3"/>
    <w:rsid w:val="009C0F0A"/>
    <w:rsid w:val="009E7305"/>
    <w:rsid w:val="009F1B65"/>
    <w:rsid w:val="009F4064"/>
    <w:rsid w:val="00A108CF"/>
    <w:rsid w:val="00A12880"/>
    <w:rsid w:val="00A309FC"/>
    <w:rsid w:val="00A600DF"/>
    <w:rsid w:val="00A7681A"/>
    <w:rsid w:val="00A8700F"/>
    <w:rsid w:val="00B048EB"/>
    <w:rsid w:val="00B06FEF"/>
    <w:rsid w:val="00B11246"/>
    <w:rsid w:val="00B119BE"/>
    <w:rsid w:val="00B12146"/>
    <w:rsid w:val="00B40759"/>
    <w:rsid w:val="00B91642"/>
    <w:rsid w:val="00BC7207"/>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146B"/>
    <w:rsid w:val="00DD5AF5"/>
    <w:rsid w:val="00E2600C"/>
    <w:rsid w:val="00E72407"/>
    <w:rsid w:val="00E818DF"/>
    <w:rsid w:val="00E93D55"/>
    <w:rsid w:val="00E96515"/>
    <w:rsid w:val="00EA3209"/>
    <w:rsid w:val="00EA689D"/>
    <w:rsid w:val="00EC4584"/>
    <w:rsid w:val="00ED1254"/>
    <w:rsid w:val="00EF3060"/>
    <w:rsid w:val="00F00F25"/>
    <w:rsid w:val="00F12BF5"/>
    <w:rsid w:val="00F27AA0"/>
    <w:rsid w:val="00F56763"/>
    <w:rsid w:val="00F6214A"/>
    <w:rsid w:val="00FB173F"/>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8C78C4E0-BB0B-465A-9315-FA3344A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宋体" w:hAnsi="Arial" w:cs="Arial"/>
      <w:color w:val="0000FF"/>
      <w:kern w:val="2"/>
      <w:sz w:val="22"/>
      <w:lang w:eastAsia="zh-CN"/>
    </w:rPr>
  </w:style>
  <w:style w:type="character" w:customStyle="1" w:styleId="27">
    <w:name w:val="확인되지 않은 멘션2"/>
    <w:basedOn w:val="a0"/>
    <w:uiPriority w:val="99"/>
    <w:semiHidden/>
    <w:unhideWhenUsed/>
    <w:rsid w:val="00A12880"/>
    <w:rPr>
      <w:color w:val="605E5C"/>
      <w:shd w:val="clear" w:color="auto" w:fill="E1DFDD"/>
    </w:rPr>
  </w:style>
  <w:style w:type="character" w:customStyle="1" w:styleId="UnresolvedMention">
    <w:name w:val="Unresolved Mention"/>
    <w:basedOn w:val="a0"/>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18" Type="http://schemas.openxmlformats.org/officeDocument/2006/relationships/hyperlink" Target="mailto:faris.alfarhan@interdigit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xue@oppo.com" TargetMode="External"/><Relationship Id="rId2" Type="http://schemas.openxmlformats.org/officeDocument/2006/relationships/customXml" Target="../customXml/item2.xml"/><Relationship Id="rId16" Type="http://schemas.openxmlformats.org/officeDocument/2006/relationships/hyperlink" Target="mailto:anilag@samsung.com" TargetMode="External"/><Relationship Id="rId20" Type="http://schemas.openxmlformats.org/officeDocument/2006/relationships/hyperlink" Target="mailto:wang_da@nec.c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webSettings" Target="webSettings.xml"/><Relationship Id="rId19" Type="http://schemas.openxmlformats.org/officeDocument/2006/relationships/hyperlink" Target="mailto:kimjh@etri.re.k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ssi-pekka.koskinen@nok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6.xml><?xml version="1.0" encoding="utf-8"?>
<ds:datastoreItem xmlns:ds="http://schemas.openxmlformats.org/officeDocument/2006/customXml" ds:itemID="{FBCF7FFB-B2AA-4AF0-8698-E6C8305C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11</Pages>
  <Words>3903</Words>
  <Characters>22248</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6</cp:revision>
  <dcterms:created xsi:type="dcterms:W3CDTF">2021-03-11T04:51:00Z</dcterms:created>
  <dcterms:modified xsi:type="dcterms:W3CDTF">2021-03-15T05:20:00Z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