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e-Meeting,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w:t>
      </w:r>
      <w:proofErr w:type="gramStart"/>
      <w:r>
        <w:rPr>
          <w:rFonts w:cs="Arial"/>
          <w:b/>
          <w:bCs/>
          <w:snapToGrid w:val="0"/>
          <w:sz w:val="28"/>
          <w:szCs w:val="28"/>
        </w:rPr>
        <w:t>e][</w:t>
      </w:r>
      <w:proofErr w:type="gramEnd"/>
      <w:r>
        <w:rPr>
          <w:rFonts w:cs="Arial"/>
          <w:b/>
          <w:bCs/>
          <w:snapToGrid w:val="0"/>
          <w:sz w:val="28"/>
          <w:szCs w:val="28"/>
        </w:rPr>
        <w:t>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w:t>
      </w:r>
      <w:proofErr w:type="gramStart"/>
      <w:r>
        <w:t>e][</w:t>
      </w:r>
      <w:proofErr w:type="gramEnd"/>
      <w:r>
        <w:t>502][SDT]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4"/>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1"/>
        <w:rPr>
          <w:snapToGrid w:val="0"/>
        </w:rPr>
      </w:pPr>
      <w:r>
        <w:rPr>
          <w:snapToGrid w:val="0"/>
        </w:rPr>
        <w:t>Discussion</w:t>
      </w:r>
    </w:p>
    <w:p w14:paraId="675CE12F" w14:textId="77777777" w:rsidR="00650F16" w:rsidRDefault="00FC00DF">
      <w:pPr>
        <w:pStyle w:val="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ae"/>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af4"/>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af4"/>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ae"/>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ae"/>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w:t>
            </w:r>
            <w:proofErr w:type="gramStart"/>
            <w:r w:rsidR="000453EA">
              <w:rPr>
                <w:rFonts w:eastAsiaTheme="minorEastAsia" w:cs="Arial"/>
                <w:snapToGrid w:val="0"/>
                <w:sz w:val="20"/>
                <w:szCs w:val="20"/>
                <w:lang w:eastAsia="zh-CN"/>
              </w:rPr>
              <w:t xml:space="preserve">layer </w:t>
            </w:r>
            <w:r w:rsidR="00DC27E9">
              <w:rPr>
                <w:rFonts w:eastAsiaTheme="minorEastAsia" w:cs="Arial"/>
                <w:snapToGrid w:val="0"/>
                <w:sz w:val="20"/>
                <w:szCs w:val="20"/>
                <w:lang w:eastAsia="zh-CN"/>
              </w:rPr>
              <w:t xml:space="preserve"> even</w:t>
            </w:r>
            <w:proofErr w:type="gramEnd"/>
            <w:r w:rsidR="00DC27E9">
              <w:rPr>
                <w:rFonts w:eastAsiaTheme="minorEastAsia" w:cs="Arial"/>
                <w:snapToGrid w:val="0"/>
                <w:sz w:val="20"/>
                <w:szCs w:val="20"/>
                <w:lang w:eastAsia="zh-CN"/>
              </w:rPr>
              <w:t xml:space="preserve">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D61929">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D61929">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D61929">
            <w:pPr>
              <w:snapToGrid w:val="0"/>
              <w:rPr>
                <w:rFonts w:cs="Arial"/>
                <w:snapToGrid w:val="0"/>
                <w:sz w:val="20"/>
                <w:szCs w:val="20"/>
              </w:rPr>
            </w:pPr>
            <w:r>
              <w:rPr>
                <w:rFonts w:eastAsiaTheme="minorEastAsia" w:cs="Arial"/>
                <w:snapToGrid w:val="0"/>
                <w:sz w:val="20"/>
                <w:szCs w:val="20"/>
                <w:lang w:eastAsia="zh-CN"/>
              </w:rPr>
              <w:t>Agree with ZTE and Samsung</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ae"/>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lastRenderedPageBreak/>
              <w:t>If non-SDT DRBs are also resumed, then we need some special mechanism to ensure the data is not transmitted in UL during SDT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lastRenderedPageBreak/>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w:t>
            </w:r>
            <w:proofErr w:type="gramStart"/>
            <w:r>
              <w:rPr>
                <w:rFonts w:cs="Arial" w:hint="eastAsia"/>
                <w:snapToGrid w:val="0"/>
                <w:sz w:val="20"/>
                <w:szCs w:val="20"/>
              </w:rPr>
              <w:t>option</w:t>
            </w:r>
            <w:proofErr w:type="gramEnd"/>
            <w:r>
              <w:rPr>
                <w:rFonts w:cs="Arial" w:hint="eastAsia"/>
                <w:snapToGrid w:val="0"/>
                <w:sz w:val="20"/>
                <w:szCs w:val="20"/>
              </w:rPr>
              <w:t xml:space="preserve">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w:t>
            </w:r>
            <w:proofErr w:type="gramStart"/>
            <w:r>
              <w:rPr>
                <w:rFonts w:cs="Arial"/>
                <w:snapToGrid w:val="0"/>
                <w:sz w:val="20"/>
                <w:szCs w:val="20"/>
              </w:rPr>
              <w:t>needs</w:t>
            </w:r>
            <w:proofErr w:type="gramEnd"/>
            <w:r>
              <w:rPr>
                <w:rFonts w:cs="Arial"/>
                <w:snapToGrid w:val="0"/>
                <w:sz w:val="20"/>
                <w:szCs w:val="20"/>
              </w:rPr>
              <w:t xml:space="preserve">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D61929">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D6192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D61929">
            <w:pPr>
              <w:snapToGrid w:val="0"/>
              <w:rPr>
                <w:rFonts w:cs="Arial"/>
                <w:bCs/>
                <w:iCs/>
                <w:snapToGrid w:val="0"/>
                <w:sz w:val="20"/>
                <w:szCs w:val="20"/>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af4"/>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af4"/>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af4"/>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af4"/>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af4"/>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lastRenderedPageBreak/>
        <w:t xml:space="preserve">So, first we can try to develop the understanding further for each of the above options. </w:t>
      </w:r>
    </w:p>
    <w:tbl>
      <w:tblPr>
        <w:tblStyle w:val="ae"/>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message, and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w:t>
            </w:r>
            <w:proofErr w:type="gramStart"/>
            <w:r>
              <w:rPr>
                <w:rFonts w:cs="Arial"/>
                <w:snapToGrid w:val="0"/>
                <w:sz w:val="20"/>
                <w:szCs w:val="20"/>
              </w:rPr>
              <w:t>addition</w:t>
            </w:r>
            <w:proofErr w:type="gramEnd"/>
            <w:r>
              <w:rPr>
                <w:rFonts w:cs="Arial"/>
                <w:snapToGrid w:val="0"/>
                <w:sz w:val="20"/>
                <w:szCs w:val="20"/>
              </w:rPr>
              <w:t xml:space="preserve">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af4"/>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af4"/>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af4"/>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9"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tc>
          <w:tcPr>
            <w:tcW w:w="1183"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9"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5"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9A26B3">
        <w:tc>
          <w:tcPr>
            <w:tcW w:w="1183" w:type="dxa"/>
          </w:tcPr>
          <w:p w14:paraId="078A55C5" w14:textId="1FC83581" w:rsidR="009A26B3" w:rsidRPr="00B048EB" w:rsidRDefault="009A26B3" w:rsidP="00D61929">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ETRI</w:t>
            </w:r>
          </w:p>
        </w:tc>
        <w:tc>
          <w:tcPr>
            <w:tcW w:w="1439" w:type="dxa"/>
          </w:tcPr>
          <w:p w14:paraId="610917F1" w14:textId="77777777" w:rsidR="009A26B3" w:rsidRPr="00B048EB" w:rsidRDefault="009A26B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34E86D4A" w14:textId="77777777" w:rsidR="009A26B3" w:rsidRPr="00001671" w:rsidRDefault="009A26B3" w:rsidP="00D6192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bl>
    <w:p w14:paraId="6E26D7F5" w14:textId="77777777" w:rsidR="00650F16" w:rsidRDefault="00650F16">
      <w:pPr>
        <w:snapToGrid w:val="0"/>
        <w:rPr>
          <w:rFonts w:cs="Arial"/>
          <w:snapToGrid w:val="0"/>
          <w:sz w:val="20"/>
          <w:szCs w:val="20"/>
        </w:rPr>
      </w:pPr>
    </w:p>
    <w:tbl>
      <w:tblPr>
        <w:tblStyle w:val="ae"/>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w:t>
            </w:r>
            <w:proofErr w:type="gramStart"/>
            <w:r>
              <w:rPr>
                <w:rFonts w:cs="Arial"/>
                <w:snapToGrid w:val="0"/>
                <w:sz w:val="20"/>
                <w:szCs w:val="20"/>
              </w:rPr>
              <w:t>addition</w:t>
            </w:r>
            <w:proofErr w:type="gramEnd"/>
            <w:r>
              <w:rPr>
                <w:rFonts w:cs="Arial"/>
                <w:snapToGrid w:val="0"/>
                <w:sz w:val="20"/>
                <w:szCs w:val="20"/>
              </w:rPr>
              <w:t xml:space="preserve">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af4"/>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af4"/>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af4"/>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w:t>
            </w:r>
            <w:proofErr w:type="gramStart"/>
            <w:r w:rsidR="00D77AB2">
              <w:rPr>
                <w:rFonts w:eastAsiaTheme="minorEastAsia" w:cs="Arial"/>
                <w:snapToGrid w:val="0"/>
                <w:sz w:val="20"/>
                <w:szCs w:val="20"/>
                <w:lang w:eastAsia="zh-CN"/>
              </w:rPr>
              <w:t>to  decode</w:t>
            </w:r>
            <w:proofErr w:type="gramEnd"/>
            <w:r w:rsidR="00D77AB2">
              <w:rPr>
                <w:rFonts w:eastAsiaTheme="minorEastAsia" w:cs="Arial"/>
                <w:snapToGrid w:val="0"/>
                <w:sz w:val="20"/>
                <w:szCs w:val="20"/>
                <w:lang w:eastAsia="zh-CN"/>
              </w:rPr>
              <w:t xml:space="preserv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af4"/>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w:t>
            </w:r>
            <w:proofErr w:type="gramStart"/>
            <w:r w:rsidR="00233906" w:rsidRPr="0047722D">
              <w:rPr>
                <w:rFonts w:eastAsiaTheme="minorEastAsia" w:cs="Arial"/>
                <w:snapToGrid w:val="0"/>
                <w:sz w:val="20"/>
                <w:szCs w:val="20"/>
                <w:lang w:eastAsia="zh-CN"/>
              </w:rPr>
              <w:t xml:space="preserve">CE </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p>
          <w:p w14:paraId="5B8CED02" w14:textId="161D8A64" w:rsidR="00233906" w:rsidRDefault="00F12BF5" w:rsidP="0047722D">
            <w:pPr>
              <w:pStyle w:val="af4"/>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af4"/>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af4"/>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lastRenderedPageBreak/>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af4"/>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w:t>
            </w:r>
            <w:proofErr w:type="gramStart"/>
            <w:r>
              <w:rPr>
                <w:rFonts w:eastAsiaTheme="minorEastAsia" w:cs="Arial"/>
                <w:snapToGrid w:val="0"/>
                <w:sz w:val="20"/>
                <w:szCs w:val="20"/>
                <w:lang w:eastAsia="zh-CN"/>
              </w:rPr>
              <w:t>message</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af4"/>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af4"/>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w:t>
            </w:r>
            <w:proofErr w:type="gramStart"/>
            <w:r>
              <w:rPr>
                <w:rFonts w:eastAsiaTheme="minorEastAsia" w:cs="Arial"/>
                <w:snapToGrid w:val="0"/>
                <w:sz w:val="20"/>
                <w:szCs w:val="20"/>
                <w:lang w:eastAsia="zh-CN"/>
              </w:rPr>
              <w:t xml:space="preserve">CE </w:t>
            </w:r>
            <w:r w:rsidR="00065ECB">
              <w:rPr>
                <w:rFonts w:eastAsiaTheme="minorEastAsia" w:cs="Arial"/>
                <w:snapToGrid w:val="0"/>
                <w:sz w:val="20"/>
                <w:szCs w:val="20"/>
                <w:lang w:eastAsia="zh-CN"/>
              </w:rPr>
              <w:t xml:space="preserve"> is</w:t>
            </w:r>
            <w:proofErr w:type="gramEnd"/>
            <w:r w:rsidR="00065ECB">
              <w:rPr>
                <w:rFonts w:eastAsiaTheme="minorEastAsia" w:cs="Arial"/>
                <w:snapToGrid w:val="0"/>
                <w:sz w:val="20"/>
                <w:szCs w:val="20"/>
                <w:lang w:eastAsia="zh-CN"/>
              </w:rPr>
              <w:t xml:space="preserve">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lastRenderedPageBreak/>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tc>
          <w:tcPr>
            <w:tcW w:w="1182"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844F26">
        <w:tc>
          <w:tcPr>
            <w:tcW w:w="1182" w:type="dxa"/>
          </w:tcPr>
          <w:p w14:paraId="1545CEA0" w14:textId="49670CBA" w:rsidR="00844F26" w:rsidRDefault="00844F26" w:rsidP="00D61929">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D6192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58B0351D" w14:textId="11600B13" w:rsidR="00844F26" w:rsidRDefault="00844F26" w:rsidP="00D61929">
            <w:pPr>
              <w:snapToGrid w:val="0"/>
              <w:rPr>
                <w:rFonts w:cs="Arial"/>
                <w:snapToGrid w:val="0"/>
                <w:sz w:val="20"/>
                <w:szCs w:val="20"/>
              </w:rPr>
            </w:pPr>
          </w:p>
        </w:tc>
      </w:tr>
    </w:tbl>
    <w:p w14:paraId="6E2F3660" w14:textId="77777777" w:rsidR="00650F16" w:rsidRDefault="00650F16">
      <w:pPr>
        <w:snapToGrid w:val="0"/>
        <w:rPr>
          <w:rFonts w:cs="Arial"/>
          <w:snapToGrid w:val="0"/>
          <w:sz w:val="20"/>
          <w:szCs w:val="20"/>
        </w:rPr>
      </w:pPr>
    </w:p>
    <w:tbl>
      <w:tblPr>
        <w:tblStyle w:val="ae"/>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has to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af4"/>
              <w:numPr>
                <w:ilvl w:val="0"/>
                <w:numId w:val="11"/>
              </w:numPr>
              <w:snapToGrid w:val="0"/>
              <w:rPr>
                <w:rFonts w:cs="Arial"/>
                <w:snapToGrid w:val="0"/>
                <w:sz w:val="20"/>
                <w:szCs w:val="20"/>
              </w:rPr>
            </w:pPr>
            <w:r>
              <w:rPr>
                <w:rFonts w:cs="Arial"/>
                <w:snapToGrid w:val="0"/>
                <w:sz w:val="20"/>
                <w:szCs w:val="20"/>
              </w:rPr>
              <w:t>Similar to the MAC level mechanism, we think this is much simpler than the CCCH based mechanism and has no impact to other groups</w:t>
            </w:r>
          </w:p>
          <w:p w14:paraId="0FA3B1B2" w14:textId="77777777" w:rsidR="00650F16" w:rsidRDefault="00FC00DF">
            <w:pPr>
              <w:pStyle w:val="af4"/>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xml:space="preserve">. </w:t>
            </w:r>
            <w:proofErr w:type="gramStart"/>
            <w:r>
              <w:rPr>
                <w:rFonts w:cs="Arial"/>
                <w:snapToGrid w:val="0"/>
                <w:sz w:val="20"/>
                <w:szCs w:val="20"/>
              </w:rPr>
              <w:t>Typically</w:t>
            </w:r>
            <w:proofErr w:type="gramEnd"/>
            <w:r>
              <w:rPr>
                <w:rFonts w:cs="Arial"/>
                <w:snapToGrid w:val="0"/>
                <w:sz w:val="20"/>
                <w:szCs w:val="20"/>
              </w:rPr>
              <w:t xml:space="preserve">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D61929">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D6192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D61929">
            <w:pPr>
              <w:snapToGrid w:val="0"/>
              <w:rPr>
                <w:rFonts w:cs="Arial"/>
                <w:snapToGrid w:val="0"/>
                <w:sz w:val="20"/>
                <w:szCs w:val="20"/>
              </w:rPr>
            </w:pP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ae"/>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proofErr w:type="gramStart"/>
            <w:r>
              <w:rPr>
                <w:rFonts w:eastAsiaTheme="minorEastAsia" w:cs="Arial" w:hint="eastAsia"/>
                <w:snapToGrid w:val="0"/>
                <w:sz w:val="20"/>
                <w:szCs w:val="20"/>
                <w:lang w:eastAsia="zh-CN"/>
              </w:rPr>
              <w:t>A</w:t>
            </w:r>
            <w:r>
              <w:rPr>
                <w:rFonts w:eastAsiaTheme="minorEastAsia" w:cs="Arial"/>
                <w:snapToGrid w:val="0"/>
                <w:sz w:val="20"/>
                <w:szCs w:val="20"/>
                <w:lang w:eastAsia="zh-CN"/>
              </w:rPr>
              <w:t>ctually</w:t>
            </w:r>
            <w:proofErr w:type="gramEnd"/>
            <w:r>
              <w:rPr>
                <w:rFonts w:eastAsiaTheme="minorEastAsia" w:cs="Arial"/>
                <w:snapToGrid w:val="0"/>
                <w:sz w:val="20"/>
                <w:szCs w:val="20"/>
                <w:lang w:eastAsia="zh-CN"/>
              </w:rPr>
              <w:t xml:space="preserve">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D61929">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D61929">
            <w:pPr>
              <w:snapToGrid w:val="0"/>
              <w:rPr>
                <w:rFonts w:eastAsia="맑은 고딕" w:cs="Arial"/>
                <w:snapToGrid w:val="0"/>
                <w:sz w:val="20"/>
                <w:szCs w:val="20"/>
              </w:rPr>
            </w:pPr>
            <w:r>
              <w:rPr>
                <w:rFonts w:eastAsia="맑은 고딕" w:cs="Arial" w:hint="eastAsia"/>
                <w:snapToGrid w:val="0"/>
                <w:sz w:val="20"/>
                <w:szCs w:val="20"/>
              </w:rPr>
              <w:t>N</w:t>
            </w:r>
            <w:r>
              <w:rPr>
                <w:rFonts w:eastAsia="맑은 고딕" w:cs="Arial"/>
                <w:snapToGrid w:val="0"/>
                <w:sz w:val="20"/>
                <w:szCs w:val="20"/>
              </w:rPr>
              <w:t>o</w:t>
            </w:r>
          </w:p>
        </w:tc>
        <w:tc>
          <w:tcPr>
            <w:tcW w:w="583" w:type="dxa"/>
          </w:tcPr>
          <w:p w14:paraId="0DF3DBC4" w14:textId="4AA054B6" w:rsidR="00B40759" w:rsidRPr="00B40759" w:rsidRDefault="00B40759" w:rsidP="00D61929">
            <w:pPr>
              <w:snapToGrid w:val="0"/>
              <w:rPr>
                <w:rFonts w:eastAsia="맑은 고딕" w:cs="Arial"/>
                <w:snapToGrid w:val="0"/>
                <w:sz w:val="20"/>
                <w:szCs w:val="20"/>
              </w:rPr>
            </w:pPr>
            <w:r>
              <w:rPr>
                <w:rFonts w:eastAsia="맑은 고딕" w:cs="Arial" w:hint="eastAsia"/>
                <w:snapToGrid w:val="0"/>
                <w:sz w:val="20"/>
                <w:szCs w:val="20"/>
              </w:rPr>
              <w:t>Y</w:t>
            </w:r>
            <w:r>
              <w:rPr>
                <w:rFonts w:eastAsia="맑은 고딕" w:cs="Arial"/>
                <w:snapToGrid w:val="0"/>
                <w:sz w:val="20"/>
                <w:szCs w:val="20"/>
              </w:rPr>
              <w:t>es</w:t>
            </w:r>
          </w:p>
        </w:tc>
        <w:tc>
          <w:tcPr>
            <w:tcW w:w="852" w:type="dxa"/>
          </w:tcPr>
          <w:p w14:paraId="5F4297A3" w14:textId="31FA306E" w:rsidR="00B40759" w:rsidRDefault="00F56763" w:rsidP="00D61929">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D61929">
            <w:pPr>
              <w:snapToGrid w:val="0"/>
              <w:rPr>
                <w:rFonts w:eastAsiaTheme="minorEastAsia" w:cs="Arial"/>
                <w:snapToGrid w:val="0"/>
                <w:sz w:val="20"/>
                <w:szCs w:val="20"/>
                <w:lang w:eastAsia="zh-CN"/>
              </w:rPr>
            </w:pP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2"/>
        <w:rPr>
          <w:snapToGrid w:val="0"/>
          <w:lang w:val="en-US"/>
        </w:rPr>
      </w:pPr>
      <w:r>
        <w:rPr>
          <w:snapToGrid w:val="0"/>
          <w:lang w:val="en-GB"/>
        </w:rPr>
        <w:lastRenderedPageBreak/>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af4"/>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whether or not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ae"/>
        <w:tblW w:w="0" w:type="auto"/>
        <w:tblLook w:val="04A0" w:firstRow="1" w:lastRow="0" w:firstColumn="1" w:lastColumn="0" w:noHBand="0" w:noVBand="1"/>
      </w:tblPr>
      <w:tblGrid>
        <w:gridCol w:w="1150"/>
        <w:gridCol w:w="528"/>
        <w:gridCol w:w="461"/>
        <w:gridCol w:w="461"/>
        <w:gridCol w:w="461"/>
        <w:gridCol w:w="461"/>
        <w:gridCol w:w="461"/>
        <w:gridCol w:w="5034"/>
      </w:tblGrid>
      <w:tr w:rsidR="00650F16" w14:paraId="77E6F2D3" w14:textId="77777777">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1843B9">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833"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34"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1843B9">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61"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461"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461"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34" w:type="dxa"/>
            <w:vMerge/>
          </w:tcPr>
          <w:p w14:paraId="391A9A49" w14:textId="77777777" w:rsidR="00650F16" w:rsidRDefault="00650F16">
            <w:pPr>
              <w:snapToGrid w:val="0"/>
              <w:rPr>
                <w:rFonts w:cs="Arial"/>
                <w:snapToGrid w:val="0"/>
                <w:sz w:val="20"/>
                <w:szCs w:val="20"/>
              </w:rPr>
            </w:pPr>
          </w:p>
        </w:tc>
      </w:tr>
      <w:tr w:rsidR="00650F16" w14:paraId="6C6A2734" w14:textId="77777777" w:rsidTr="001843B9">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61"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461" w:type="dxa"/>
          </w:tcPr>
          <w:p w14:paraId="0B5EF745" w14:textId="77777777" w:rsidR="00650F16" w:rsidRDefault="00650F16">
            <w:pPr>
              <w:snapToGrid w:val="0"/>
              <w:rPr>
                <w:rFonts w:cs="Arial"/>
                <w:snapToGrid w:val="0"/>
                <w:sz w:val="20"/>
                <w:szCs w:val="20"/>
              </w:rPr>
            </w:pPr>
          </w:p>
        </w:tc>
        <w:tc>
          <w:tcPr>
            <w:tcW w:w="461"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34"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Even if it is kept, we are wondering whether SDT should be supported for split bearer, because split bearer is typically used for high-throughput which is not the target of SDT.</w:t>
            </w:r>
          </w:p>
        </w:tc>
      </w:tr>
      <w:tr w:rsidR="00650F16" w14:paraId="52AFE66A" w14:textId="77777777" w:rsidTr="001843B9">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61"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34" w:type="dxa"/>
          </w:tcPr>
          <w:p w14:paraId="49440CE7" w14:textId="77777777" w:rsidR="00650F16" w:rsidRDefault="00650F16">
            <w:pPr>
              <w:snapToGrid w:val="0"/>
              <w:rPr>
                <w:rFonts w:cs="Arial"/>
                <w:snapToGrid w:val="0"/>
                <w:sz w:val="20"/>
                <w:szCs w:val="20"/>
              </w:rPr>
            </w:pPr>
          </w:p>
        </w:tc>
      </w:tr>
      <w:tr w:rsidR="00650F16" w14:paraId="252A47D4" w14:textId="77777777" w:rsidTr="001843B9">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461"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34"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1843B9">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61"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34" w:type="dxa"/>
          </w:tcPr>
          <w:p w14:paraId="00776647" w14:textId="77777777" w:rsidR="00E96515" w:rsidRDefault="00E96515">
            <w:pPr>
              <w:snapToGrid w:val="0"/>
              <w:rPr>
                <w:rFonts w:cs="Arial"/>
                <w:snapToGrid w:val="0"/>
                <w:sz w:val="20"/>
                <w:szCs w:val="20"/>
              </w:rPr>
            </w:pPr>
          </w:p>
        </w:tc>
      </w:tr>
      <w:tr w:rsidR="003A04C1" w14:paraId="11D3A8A7" w14:textId="77777777" w:rsidTr="001843B9">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61"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34"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1843B9">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461"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034"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1843B9">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461"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5034"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F56763">
        <w:tc>
          <w:tcPr>
            <w:tcW w:w="1150" w:type="dxa"/>
          </w:tcPr>
          <w:p w14:paraId="6700856C" w14:textId="2E0DA0F1" w:rsidR="00F56763" w:rsidRDefault="00F56763" w:rsidP="00D61929">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D61929">
            <w:pPr>
              <w:snapToGrid w:val="0"/>
              <w:rPr>
                <w:rFonts w:cs="Arial"/>
                <w:snapToGrid w:val="0"/>
                <w:sz w:val="20"/>
                <w:szCs w:val="20"/>
              </w:rPr>
            </w:pPr>
            <w:r>
              <w:rPr>
                <w:rFonts w:cs="Arial" w:hint="eastAsia"/>
                <w:snapToGrid w:val="0"/>
                <w:sz w:val="20"/>
                <w:szCs w:val="20"/>
              </w:rPr>
              <w:t>Yes</w:t>
            </w:r>
          </w:p>
        </w:tc>
        <w:tc>
          <w:tcPr>
            <w:tcW w:w="461" w:type="dxa"/>
          </w:tcPr>
          <w:p w14:paraId="40FE5767"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5C5A5E15"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11D823F9"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D61929">
            <w:pPr>
              <w:snapToGrid w:val="0"/>
              <w:rPr>
                <w:rFonts w:cs="Arial"/>
                <w:snapToGrid w:val="0"/>
                <w:sz w:val="20"/>
                <w:szCs w:val="20"/>
              </w:rPr>
            </w:pPr>
            <w:r>
              <w:rPr>
                <w:rFonts w:cs="Arial" w:hint="eastAsia"/>
                <w:snapToGrid w:val="0"/>
                <w:sz w:val="20"/>
                <w:szCs w:val="20"/>
              </w:rPr>
              <w:t>No</w:t>
            </w:r>
          </w:p>
        </w:tc>
        <w:tc>
          <w:tcPr>
            <w:tcW w:w="5034" w:type="dxa"/>
          </w:tcPr>
          <w:p w14:paraId="1B3B4A48" w14:textId="77777777" w:rsidR="00F56763" w:rsidRDefault="00F56763" w:rsidP="00D61929">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lastRenderedPageBreak/>
        <w:t>Conclusion and proposals</w:t>
      </w:r>
    </w:p>
    <w:p w14:paraId="61B13FD8" w14:textId="77777777" w:rsidR="00650F16" w:rsidRDefault="00650F16">
      <w:pPr>
        <w:pStyle w:val="af4"/>
        <w:snapToGrid w:val="0"/>
        <w:ind w:left="1440"/>
        <w:rPr>
          <w:rFonts w:cs="Arial"/>
          <w:snapToGrid w:val="0"/>
          <w:color w:val="ED7D31" w:themeColor="accent2"/>
          <w:sz w:val="20"/>
          <w:szCs w:val="20"/>
          <w:u w:val="single"/>
        </w:rPr>
      </w:pPr>
    </w:p>
    <w:p w14:paraId="67EB2E7D" w14:textId="77777777" w:rsidR="00650F16" w:rsidRDefault="00FC00DF">
      <w:pPr>
        <w:pStyle w:val="1"/>
        <w:rPr>
          <w:snapToGrid w:val="0"/>
        </w:rPr>
      </w:pPr>
      <w:r>
        <w:rPr>
          <w:snapToGrid w:val="0"/>
        </w:rPr>
        <w:t>References</w:t>
      </w:r>
    </w:p>
    <w:p w14:paraId="44635644" w14:textId="77777777" w:rsidR="00650F16" w:rsidRDefault="00FC00DF">
      <w:pPr>
        <w:pStyle w:val="af4"/>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af4"/>
        <w:ind w:left="360"/>
        <w:rPr>
          <w:lang w:val="en-GB" w:eastAsia="en-GB"/>
        </w:rPr>
      </w:pPr>
    </w:p>
    <w:p w14:paraId="0D87B00E" w14:textId="77777777" w:rsidR="00650F16" w:rsidRDefault="00FC00DF">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650F16" w14:paraId="4BD3B833" w14:textId="77777777">
        <w:tc>
          <w:tcPr>
            <w:tcW w:w="2689" w:type="dxa"/>
            <w:shd w:val="clear" w:color="auto" w:fill="00B0F0"/>
          </w:tcPr>
          <w:p w14:paraId="2979C1A9" w14:textId="77777777" w:rsidR="00650F16" w:rsidRDefault="00FC00DF">
            <w:pPr>
              <w:jc w:val="center"/>
              <w:rPr>
                <w:lang w:val="en-GB" w:eastAsia="en-GB"/>
              </w:rPr>
            </w:pPr>
            <w:r>
              <w:rPr>
                <w:lang w:val="en-GB" w:eastAsia="en-GB"/>
              </w:rPr>
              <w:t>Company</w:t>
            </w:r>
          </w:p>
        </w:tc>
        <w:tc>
          <w:tcPr>
            <w:tcW w:w="7889" w:type="dxa"/>
            <w:shd w:val="clear" w:color="auto" w:fill="00B0F0"/>
          </w:tcPr>
          <w:p w14:paraId="3F072931" w14:textId="77777777" w:rsidR="00650F16" w:rsidRDefault="00FC00DF">
            <w:pPr>
              <w:jc w:val="center"/>
              <w:rPr>
                <w:lang w:val="en-GB" w:eastAsia="en-GB"/>
              </w:rPr>
            </w:pPr>
            <w:r>
              <w:rPr>
                <w:lang w:val="en-GB" w:eastAsia="en-GB"/>
              </w:rPr>
              <w:t>Contact name</w:t>
            </w:r>
          </w:p>
        </w:tc>
        <w:tc>
          <w:tcPr>
            <w:tcW w:w="5289" w:type="dxa"/>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tc>
          <w:tcPr>
            <w:tcW w:w="2689" w:type="dxa"/>
          </w:tcPr>
          <w:p w14:paraId="144E655B" w14:textId="77777777" w:rsidR="00650F16" w:rsidRDefault="00FC00DF">
            <w:pPr>
              <w:rPr>
                <w:lang w:val="en-GB"/>
              </w:rPr>
            </w:pPr>
            <w:r>
              <w:rPr>
                <w:rFonts w:hint="eastAsia"/>
                <w:lang w:val="en-GB"/>
              </w:rPr>
              <w:t>LG Electronics</w:t>
            </w:r>
          </w:p>
        </w:tc>
        <w:tc>
          <w:tcPr>
            <w:tcW w:w="7889" w:type="dxa"/>
          </w:tcPr>
          <w:p w14:paraId="1E930BF5" w14:textId="77777777" w:rsidR="00650F16" w:rsidRPr="00121CE2" w:rsidRDefault="00FC00DF">
            <w:pPr>
              <w:rPr>
                <w:lang w:val="fr-FR"/>
              </w:rPr>
            </w:pPr>
            <w:r w:rsidRPr="00121CE2">
              <w:rPr>
                <w:rFonts w:hint="eastAsia"/>
                <w:lang w:val="fr-FR"/>
              </w:rPr>
              <w:t>SeungJune Yi (</w:t>
            </w:r>
            <w:r w:rsidR="00940213">
              <w:fldChar w:fldCharType="begin"/>
            </w:r>
            <w:r w:rsidR="00940213">
              <w:instrText xml:space="preserve"> HYPERLINK "mailto:seungjune.yi@lge.com" </w:instrText>
            </w:r>
            <w:r w:rsidR="00940213">
              <w:fldChar w:fldCharType="separate"/>
            </w:r>
            <w:r w:rsidRPr="00121CE2">
              <w:rPr>
                <w:rStyle w:val="af1"/>
                <w:rFonts w:hint="eastAsia"/>
                <w:lang w:val="fr-FR"/>
              </w:rPr>
              <w:t>seungjune.yi@lge.com</w:t>
            </w:r>
            <w:r w:rsidR="00940213">
              <w:rPr>
                <w:rStyle w:val="af1"/>
                <w:lang w:val="fr-FR"/>
              </w:rPr>
              <w:fldChar w:fldCharType="end"/>
            </w:r>
            <w:r w:rsidRPr="00121CE2">
              <w:rPr>
                <w:rFonts w:hint="eastAsia"/>
                <w:lang w:val="fr-FR"/>
              </w:rPr>
              <w:t xml:space="preserve">) </w:t>
            </w:r>
          </w:p>
        </w:tc>
        <w:tc>
          <w:tcPr>
            <w:tcW w:w="5289" w:type="dxa"/>
          </w:tcPr>
          <w:p w14:paraId="0A3E7CD1" w14:textId="77777777" w:rsidR="00650F16" w:rsidRPr="00121CE2" w:rsidRDefault="00650F16">
            <w:pPr>
              <w:rPr>
                <w:lang w:val="fr-FR" w:eastAsia="en-GB"/>
              </w:rPr>
            </w:pPr>
          </w:p>
        </w:tc>
      </w:tr>
      <w:tr w:rsidR="00650F16" w:rsidRPr="008929B2" w14:paraId="12435DBE" w14:textId="77777777">
        <w:tc>
          <w:tcPr>
            <w:tcW w:w="2689" w:type="dxa"/>
          </w:tcPr>
          <w:p w14:paraId="3170E53E" w14:textId="77777777" w:rsidR="00650F16" w:rsidRDefault="00FC00DF">
            <w:pPr>
              <w:rPr>
                <w:lang w:val="en-GB"/>
              </w:rPr>
            </w:pPr>
            <w:r>
              <w:rPr>
                <w:rFonts w:cs="Arial"/>
                <w:snapToGrid w:val="0"/>
                <w:sz w:val="20"/>
                <w:szCs w:val="20"/>
              </w:rPr>
              <w:t>Nokia, Nokia Shanghai Bell</w:t>
            </w:r>
          </w:p>
        </w:tc>
        <w:tc>
          <w:tcPr>
            <w:tcW w:w="7889" w:type="dxa"/>
          </w:tcPr>
          <w:p w14:paraId="53173751" w14:textId="77777777" w:rsidR="00650F16" w:rsidRPr="00121CE2" w:rsidRDefault="00FC00DF">
            <w:pPr>
              <w:rPr>
                <w:lang w:val="fr-FR"/>
              </w:rPr>
            </w:pPr>
            <w:r w:rsidRPr="00121CE2">
              <w:rPr>
                <w:lang w:val="fr-FR" w:eastAsia="en-GB"/>
              </w:rPr>
              <w:t>Jussi Koskinen (</w:t>
            </w:r>
            <w:r w:rsidR="00940213">
              <w:fldChar w:fldCharType="begin"/>
            </w:r>
            <w:r w:rsidR="00940213">
              <w:instrText xml:space="preserve"> HYPERLINK "mailto:Jussi-pekka.koskinen@nokia.com" </w:instrText>
            </w:r>
            <w:r w:rsidR="00940213">
              <w:fldChar w:fldCharType="separate"/>
            </w:r>
            <w:r w:rsidRPr="00121CE2">
              <w:rPr>
                <w:rStyle w:val="af1"/>
                <w:lang w:val="fr-FR" w:eastAsia="en-GB"/>
              </w:rPr>
              <w:t>Jussi-pekka.koskinen@nokia.com</w:t>
            </w:r>
            <w:r w:rsidR="00940213">
              <w:rPr>
                <w:rStyle w:val="af1"/>
                <w:lang w:val="fr-FR" w:eastAsia="en-GB"/>
              </w:rPr>
              <w:fldChar w:fldCharType="end"/>
            </w:r>
            <w:r w:rsidRPr="00121CE2">
              <w:rPr>
                <w:lang w:val="fr-FR" w:eastAsia="en-GB"/>
              </w:rPr>
              <w:t>)</w:t>
            </w:r>
          </w:p>
        </w:tc>
        <w:tc>
          <w:tcPr>
            <w:tcW w:w="5289" w:type="dxa"/>
          </w:tcPr>
          <w:p w14:paraId="3CB1F651" w14:textId="77777777" w:rsidR="00650F16" w:rsidRPr="00121CE2" w:rsidRDefault="00DD146B">
            <w:pPr>
              <w:rPr>
                <w:lang w:val="fr-FR"/>
              </w:rPr>
            </w:pPr>
            <w:hyperlink r:id="rId13" w:history="1">
              <w:r w:rsidR="00FC00DF" w:rsidRPr="00121CE2">
                <w:rPr>
                  <w:rStyle w:val="af1"/>
                  <w:lang w:val="fr-FR" w:eastAsia="en-GB"/>
                </w:rPr>
                <w:t>Jussi-pekka.koskinen@nokia.com</w:t>
              </w:r>
            </w:hyperlink>
          </w:p>
        </w:tc>
      </w:tr>
      <w:tr w:rsidR="00650F16" w14:paraId="6845F063" w14:textId="77777777">
        <w:tc>
          <w:tcPr>
            <w:tcW w:w="2689" w:type="dxa"/>
          </w:tcPr>
          <w:p w14:paraId="3D6FED1C" w14:textId="77777777" w:rsidR="00650F16" w:rsidRDefault="008E593E">
            <w:pPr>
              <w:rPr>
                <w:lang w:val="en-GB"/>
              </w:rPr>
            </w:pPr>
            <w:r>
              <w:rPr>
                <w:rFonts w:hint="eastAsia"/>
                <w:lang w:val="en-GB"/>
              </w:rPr>
              <w:t>Samsung</w:t>
            </w:r>
          </w:p>
        </w:tc>
        <w:tc>
          <w:tcPr>
            <w:tcW w:w="7889" w:type="dxa"/>
          </w:tcPr>
          <w:p w14:paraId="09E80FA9" w14:textId="77777777" w:rsidR="008E593E" w:rsidRPr="008E593E" w:rsidRDefault="008E593E" w:rsidP="008E593E">
            <w:pPr>
              <w:rPr>
                <w:lang w:val="en-GB"/>
              </w:rPr>
            </w:pPr>
            <w:r>
              <w:rPr>
                <w:rFonts w:hint="eastAsia"/>
                <w:lang w:val="en-GB"/>
              </w:rPr>
              <w:t xml:space="preserve">Anil </w:t>
            </w:r>
            <w:proofErr w:type="spellStart"/>
            <w:r>
              <w:rPr>
                <w:rFonts w:hint="eastAsia"/>
                <w:lang w:val="en-GB"/>
              </w:rPr>
              <w:t>Agiwal</w:t>
            </w:r>
            <w:proofErr w:type="spellEnd"/>
            <w:r>
              <w:rPr>
                <w:rFonts w:hint="eastAsia"/>
                <w:lang w:val="en-GB"/>
              </w:rPr>
              <w:t xml:space="preserve"> (</w:t>
            </w:r>
            <w:hyperlink r:id="rId14" w:history="1">
              <w:r w:rsidRPr="00B84851">
                <w:rPr>
                  <w:rStyle w:val="af1"/>
                  <w:rFonts w:hint="eastAsia"/>
                  <w:lang w:val="en-GB"/>
                </w:rPr>
                <w:t>anilag@samsung.com</w:t>
              </w:r>
            </w:hyperlink>
            <w:r>
              <w:rPr>
                <w:rFonts w:hint="eastAsia"/>
                <w:lang w:val="en-GB"/>
              </w:rPr>
              <w:t>)</w:t>
            </w:r>
          </w:p>
        </w:tc>
        <w:tc>
          <w:tcPr>
            <w:tcW w:w="5289" w:type="dxa"/>
          </w:tcPr>
          <w:p w14:paraId="26AD7A9F" w14:textId="77777777" w:rsidR="00650F16" w:rsidRDefault="00650F16">
            <w:pPr>
              <w:rPr>
                <w:lang w:val="en-GB"/>
              </w:rPr>
            </w:pPr>
          </w:p>
        </w:tc>
      </w:tr>
      <w:tr w:rsidR="00650F16" w:rsidRPr="00121CE2" w14:paraId="5A062984" w14:textId="77777777">
        <w:tc>
          <w:tcPr>
            <w:tcW w:w="2689" w:type="dxa"/>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68EF6FC" w14:textId="69B38D49" w:rsidR="00650F16" w:rsidRPr="00121CE2" w:rsidRDefault="00343ADA">
            <w:pPr>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5" w:history="1">
              <w:r w:rsidR="00A12880" w:rsidRPr="00121CE2">
                <w:rPr>
                  <w:rStyle w:val="af1"/>
                  <w:rFonts w:eastAsiaTheme="minorEastAsia"/>
                  <w:lang w:val="fr-FR" w:eastAsia="zh-CN"/>
                </w:rPr>
                <w:t>linxue@oppo.com</w:t>
              </w:r>
            </w:hyperlink>
            <w:r w:rsidR="00A12880" w:rsidRPr="00121CE2">
              <w:rPr>
                <w:rFonts w:eastAsiaTheme="minorEastAsia"/>
                <w:lang w:val="fr-FR" w:eastAsia="zh-CN"/>
              </w:rPr>
              <w:t>)</w:t>
            </w:r>
          </w:p>
        </w:tc>
        <w:tc>
          <w:tcPr>
            <w:tcW w:w="5289" w:type="dxa"/>
          </w:tcPr>
          <w:p w14:paraId="55A5F072" w14:textId="77777777" w:rsidR="00650F16" w:rsidRPr="00121CE2" w:rsidRDefault="00650F16">
            <w:pPr>
              <w:rPr>
                <w:rFonts w:eastAsiaTheme="minorEastAsia"/>
                <w:lang w:val="fr-FR" w:eastAsia="zh-CN"/>
              </w:rPr>
            </w:pPr>
          </w:p>
        </w:tc>
      </w:tr>
      <w:tr w:rsidR="00650F16" w:rsidRPr="00950008" w14:paraId="429A3B51" w14:textId="77777777">
        <w:tc>
          <w:tcPr>
            <w:tcW w:w="2689" w:type="dxa"/>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7889" w:type="dxa"/>
          </w:tcPr>
          <w:p w14:paraId="23E3BEEF" w14:textId="47FCB15A" w:rsidR="00650F16" w:rsidRPr="00950008" w:rsidRDefault="00950008">
            <w:pPr>
              <w:rPr>
                <w:rFonts w:eastAsiaTheme="minorEastAsia"/>
                <w:lang w:eastAsia="zh-CN"/>
              </w:rPr>
            </w:pPr>
            <w:r w:rsidRPr="00950008">
              <w:rPr>
                <w:rFonts w:eastAsiaTheme="minorEastAsia"/>
                <w:lang w:eastAsia="zh-CN"/>
              </w:rPr>
              <w:t xml:space="preserve">Faris </w:t>
            </w:r>
            <w:proofErr w:type="spellStart"/>
            <w:r w:rsidRPr="00950008">
              <w:rPr>
                <w:rFonts w:eastAsiaTheme="minorEastAsia"/>
                <w:lang w:eastAsia="zh-CN"/>
              </w:rPr>
              <w:t>Alfarhan</w:t>
            </w:r>
            <w:proofErr w:type="spellEnd"/>
            <w:r w:rsidRPr="00950008">
              <w:rPr>
                <w:rFonts w:eastAsiaTheme="minorEastAsia"/>
                <w:lang w:eastAsia="zh-CN"/>
              </w:rPr>
              <w:t xml:space="preserve"> (</w:t>
            </w:r>
            <w:hyperlink r:id="rId16" w:history="1">
              <w:r w:rsidRPr="008C7530">
                <w:rPr>
                  <w:rStyle w:val="af1"/>
                  <w:rFonts w:eastAsiaTheme="minorEastAsia"/>
                  <w:lang w:eastAsia="zh-CN"/>
                </w:rPr>
                <w:t>faris.alfarhan@interdigital.com</w:t>
              </w:r>
            </w:hyperlink>
            <w:r>
              <w:rPr>
                <w:rFonts w:eastAsiaTheme="minorEastAsia"/>
                <w:lang w:eastAsia="zh-CN"/>
              </w:rPr>
              <w:t>)</w:t>
            </w:r>
          </w:p>
        </w:tc>
        <w:tc>
          <w:tcPr>
            <w:tcW w:w="5289" w:type="dxa"/>
          </w:tcPr>
          <w:p w14:paraId="73208BA5" w14:textId="77777777" w:rsidR="00650F16" w:rsidRPr="00950008" w:rsidRDefault="00650F16">
            <w:pPr>
              <w:rPr>
                <w:rFonts w:eastAsiaTheme="minorEastAsia"/>
                <w:lang w:eastAsia="zh-CN"/>
              </w:rPr>
            </w:pPr>
          </w:p>
        </w:tc>
      </w:tr>
      <w:tr w:rsidR="00650F16" w:rsidRPr="00950008" w14:paraId="7C933E9A" w14:textId="77777777">
        <w:tc>
          <w:tcPr>
            <w:tcW w:w="2689" w:type="dxa"/>
          </w:tcPr>
          <w:p w14:paraId="31E26E5D" w14:textId="6F6661DF" w:rsidR="00650F16" w:rsidRPr="008929B2" w:rsidRDefault="008929B2">
            <w:pPr>
              <w:rPr>
                <w:rFonts w:eastAsia="맑은 고딕" w:hint="eastAsia"/>
              </w:rPr>
            </w:pPr>
            <w:r>
              <w:rPr>
                <w:rFonts w:eastAsia="맑은 고딕" w:hint="eastAsia"/>
              </w:rPr>
              <w:t>E</w:t>
            </w:r>
            <w:r>
              <w:rPr>
                <w:rFonts w:eastAsia="맑은 고딕"/>
              </w:rPr>
              <w:t>TRI</w:t>
            </w:r>
          </w:p>
        </w:tc>
        <w:tc>
          <w:tcPr>
            <w:tcW w:w="7889" w:type="dxa"/>
          </w:tcPr>
          <w:p w14:paraId="56B0BAC1" w14:textId="58B60730" w:rsidR="00650F16" w:rsidRPr="008929B2" w:rsidRDefault="008929B2">
            <w:pPr>
              <w:rPr>
                <w:rFonts w:eastAsia="맑은 고딕" w:hint="eastAsia"/>
              </w:rPr>
            </w:pPr>
            <w:proofErr w:type="spellStart"/>
            <w:r>
              <w:rPr>
                <w:rFonts w:eastAsia="맑은 고딕" w:hint="eastAsia"/>
              </w:rPr>
              <w:t>J</w:t>
            </w:r>
            <w:r>
              <w:rPr>
                <w:rFonts w:eastAsia="맑은 고딕"/>
              </w:rPr>
              <w:t>aeheung</w:t>
            </w:r>
            <w:proofErr w:type="spellEnd"/>
            <w:r>
              <w:rPr>
                <w:rFonts w:eastAsia="맑은 고딕"/>
              </w:rPr>
              <w:t xml:space="preserve"> Kim (</w:t>
            </w:r>
            <w:hyperlink r:id="rId17" w:history="1">
              <w:r w:rsidRPr="00D140D2">
                <w:rPr>
                  <w:rStyle w:val="af1"/>
                  <w:rFonts w:eastAsia="맑은 고딕"/>
                </w:rPr>
                <w:t>kimjh@etri.re.kr</w:t>
              </w:r>
            </w:hyperlink>
            <w:r>
              <w:rPr>
                <w:rFonts w:eastAsia="맑은 고딕"/>
              </w:rPr>
              <w:t xml:space="preserve">) </w:t>
            </w:r>
            <w:bookmarkStart w:id="3" w:name="_GoBack"/>
            <w:bookmarkEnd w:id="3"/>
          </w:p>
        </w:tc>
        <w:tc>
          <w:tcPr>
            <w:tcW w:w="5289" w:type="dxa"/>
          </w:tcPr>
          <w:p w14:paraId="54F95734" w14:textId="77777777" w:rsidR="00650F16" w:rsidRPr="00950008" w:rsidRDefault="00650F16">
            <w:pPr>
              <w:rPr>
                <w:rFonts w:eastAsiaTheme="minorEastAsia"/>
                <w:lang w:eastAsia="zh-CN"/>
              </w:rPr>
            </w:pPr>
          </w:p>
        </w:tc>
      </w:tr>
      <w:tr w:rsidR="00650F16" w:rsidRPr="00950008" w14:paraId="7AE95EB8" w14:textId="77777777">
        <w:tc>
          <w:tcPr>
            <w:tcW w:w="2689" w:type="dxa"/>
          </w:tcPr>
          <w:p w14:paraId="37D59C8C" w14:textId="77777777" w:rsidR="00650F16" w:rsidRPr="00950008" w:rsidRDefault="00650F16">
            <w:pPr>
              <w:rPr>
                <w:rFonts w:eastAsiaTheme="minorEastAsia"/>
                <w:lang w:eastAsia="zh-CN"/>
              </w:rPr>
            </w:pPr>
          </w:p>
        </w:tc>
        <w:tc>
          <w:tcPr>
            <w:tcW w:w="7889" w:type="dxa"/>
          </w:tcPr>
          <w:p w14:paraId="18E3716A" w14:textId="77777777" w:rsidR="00650F16" w:rsidRPr="00950008" w:rsidRDefault="00650F16">
            <w:pPr>
              <w:rPr>
                <w:rFonts w:eastAsiaTheme="minorEastAsia"/>
                <w:lang w:eastAsia="zh-CN"/>
              </w:rPr>
            </w:pPr>
          </w:p>
        </w:tc>
        <w:tc>
          <w:tcPr>
            <w:tcW w:w="5289" w:type="dxa"/>
          </w:tcPr>
          <w:p w14:paraId="6882BF14" w14:textId="77777777" w:rsidR="00650F16" w:rsidRPr="00950008" w:rsidRDefault="00650F16">
            <w:pPr>
              <w:rPr>
                <w:rFonts w:eastAsiaTheme="minorEastAsia"/>
                <w:lang w:eastAsia="zh-CN"/>
              </w:rPr>
            </w:pPr>
          </w:p>
        </w:tc>
      </w:tr>
      <w:tr w:rsidR="00650F16" w:rsidRPr="00950008" w14:paraId="5F11EA37" w14:textId="77777777">
        <w:tc>
          <w:tcPr>
            <w:tcW w:w="2689" w:type="dxa"/>
          </w:tcPr>
          <w:p w14:paraId="65E3ADBB" w14:textId="77777777" w:rsidR="00650F16" w:rsidRPr="00950008" w:rsidRDefault="00650F16">
            <w:pPr>
              <w:rPr>
                <w:rFonts w:eastAsiaTheme="minorEastAsia"/>
                <w:lang w:eastAsia="zh-CN"/>
              </w:rPr>
            </w:pPr>
          </w:p>
        </w:tc>
        <w:tc>
          <w:tcPr>
            <w:tcW w:w="7889" w:type="dxa"/>
          </w:tcPr>
          <w:p w14:paraId="6A8CC68F" w14:textId="77777777" w:rsidR="00650F16" w:rsidRPr="00950008" w:rsidRDefault="00650F16">
            <w:pPr>
              <w:rPr>
                <w:rFonts w:eastAsiaTheme="minorEastAsia"/>
                <w:lang w:eastAsia="zh-CN"/>
              </w:rPr>
            </w:pPr>
          </w:p>
        </w:tc>
        <w:tc>
          <w:tcPr>
            <w:tcW w:w="5289" w:type="dxa"/>
          </w:tcPr>
          <w:p w14:paraId="35AA3DCE" w14:textId="77777777" w:rsidR="00650F16" w:rsidRPr="00950008" w:rsidRDefault="00650F16">
            <w:pPr>
              <w:rPr>
                <w:rFonts w:eastAsiaTheme="minorEastAsia"/>
                <w:lang w:eastAsia="zh-CN"/>
              </w:rPr>
            </w:pPr>
          </w:p>
        </w:tc>
      </w:tr>
      <w:tr w:rsidR="00650F16" w:rsidRPr="00950008" w14:paraId="277A1001" w14:textId="77777777">
        <w:tc>
          <w:tcPr>
            <w:tcW w:w="2689" w:type="dxa"/>
          </w:tcPr>
          <w:p w14:paraId="4D532CC7" w14:textId="77777777" w:rsidR="00650F16" w:rsidRPr="00950008" w:rsidRDefault="00650F16">
            <w:pPr>
              <w:rPr>
                <w:rFonts w:eastAsiaTheme="minorEastAsia"/>
                <w:lang w:eastAsia="zh-CN"/>
              </w:rPr>
            </w:pPr>
          </w:p>
        </w:tc>
        <w:tc>
          <w:tcPr>
            <w:tcW w:w="7889" w:type="dxa"/>
          </w:tcPr>
          <w:p w14:paraId="0AE99E3F" w14:textId="77777777" w:rsidR="00650F16" w:rsidRPr="00950008" w:rsidRDefault="00650F16">
            <w:pPr>
              <w:rPr>
                <w:rFonts w:eastAsiaTheme="minorEastAsia"/>
                <w:lang w:eastAsia="zh-CN"/>
              </w:rPr>
            </w:pPr>
          </w:p>
        </w:tc>
        <w:tc>
          <w:tcPr>
            <w:tcW w:w="5289" w:type="dxa"/>
          </w:tcPr>
          <w:p w14:paraId="3F688318" w14:textId="77777777" w:rsidR="00650F16" w:rsidRPr="00950008" w:rsidRDefault="00650F16">
            <w:pPr>
              <w:rPr>
                <w:rFonts w:eastAsiaTheme="minorEastAsia"/>
                <w:lang w:eastAsia="zh-CN"/>
              </w:rPr>
            </w:pPr>
          </w:p>
        </w:tc>
      </w:tr>
      <w:tr w:rsidR="00650F16" w:rsidRPr="00950008" w14:paraId="1036FF2E" w14:textId="77777777">
        <w:tc>
          <w:tcPr>
            <w:tcW w:w="2689" w:type="dxa"/>
          </w:tcPr>
          <w:p w14:paraId="10C4B981" w14:textId="77777777" w:rsidR="00650F16" w:rsidRPr="00950008" w:rsidRDefault="00650F16">
            <w:pPr>
              <w:rPr>
                <w:rFonts w:eastAsiaTheme="minorEastAsia"/>
                <w:lang w:eastAsia="zh-CN"/>
              </w:rPr>
            </w:pPr>
          </w:p>
        </w:tc>
        <w:tc>
          <w:tcPr>
            <w:tcW w:w="7889" w:type="dxa"/>
          </w:tcPr>
          <w:p w14:paraId="660D33BF" w14:textId="77777777" w:rsidR="00650F16" w:rsidRPr="00950008" w:rsidRDefault="00650F16">
            <w:pPr>
              <w:rPr>
                <w:rFonts w:eastAsia="PMingLiU"/>
                <w:lang w:eastAsia="zh-TW"/>
              </w:rPr>
            </w:pPr>
          </w:p>
        </w:tc>
        <w:tc>
          <w:tcPr>
            <w:tcW w:w="5289" w:type="dxa"/>
          </w:tcPr>
          <w:p w14:paraId="238714D5" w14:textId="77777777" w:rsidR="00650F16" w:rsidRPr="00950008" w:rsidRDefault="00650F16">
            <w:pPr>
              <w:rPr>
                <w:rFonts w:eastAsia="PMingLiU"/>
                <w:lang w:eastAsia="zh-TW"/>
              </w:rPr>
            </w:pPr>
          </w:p>
        </w:tc>
      </w:tr>
      <w:tr w:rsidR="00650F16" w:rsidRPr="00950008" w14:paraId="0CC7A220" w14:textId="77777777">
        <w:tc>
          <w:tcPr>
            <w:tcW w:w="2689" w:type="dxa"/>
          </w:tcPr>
          <w:p w14:paraId="28E84C59" w14:textId="77777777" w:rsidR="00650F16" w:rsidRPr="00950008" w:rsidRDefault="00650F16">
            <w:pPr>
              <w:rPr>
                <w:rFonts w:eastAsiaTheme="minorEastAsia"/>
                <w:lang w:eastAsia="zh-CN"/>
              </w:rPr>
            </w:pPr>
          </w:p>
        </w:tc>
        <w:tc>
          <w:tcPr>
            <w:tcW w:w="7889" w:type="dxa"/>
          </w:tcPr>
          <w:p w14:paraId="72C5B47E" w14:textId="77777777" w:rsidR="00650F16" w:rsidRPr="00950008" w:rsidRDefault="00650F16">
            <w:pPr>
              <w:rPr>
                <w:rFonts w:eastAsia="PMingLiU"/>
                <w:lang w:eastAsia="zh-TW"/>
              </w:rPr>
            </w:pPr>
          </w:p>
        </w:tc>
        <w:tc>
          <w:tcPr>
            <w:tcW w:w="5289" w:type="dxa"/>
          </w:tcPr>
          <w:p w14:paraId="25AA2E86" w14:textId="77777777" w:rsidR="00650F16" w:rsidRPr="00950008" w:rsidRDefault="00650F16">
            <w:pPr>
              <w:rPr>
                <w:rFonts w:eastAsia="PMingLiU"/>
                <w:lang w:eastAsia="zh-TW"/>
              </w:rPr>
            </w:pPr>
          </w:p>
        </w:tc>
      </w:tr>
      <w:tr w:rsidR="00650F16" w:rsidRPr="00950008" w14:paraId="59883679" w14:textId="77777777">
        <w:tc>
          <w:tcPr>
            <w:tcW w:w="2689" w:type="dxa"/>
          </w:tcPr>
          <w:p w14:paraId="61A35820" w14:textId="77777777" w:rsidR="00650F16" w:rsidRPr="00950008" w:rsidRDefault="00650F16">
            <w:pPr>
              <w:rPr>
                <w:rFonts w:eastAsiaTheme="minorEastAsia"/>
                <w:lang w:eastAsia="zh-CN"/>
              </w:rPr>
            </w:pPr>
          </w:p>
        </w:tc>
        <w:tc>
          <w:tcPr>
            <w:tcW w:w="7889" w:type="dxa"/>
          </w:tcPr>
          <w:p w14:paraId="5278ADCC" w14:textId="77777777" w:rsidR="00650F16" w:rsidRPr="00950008" w:rsidRDefault="00650F16">
            <w:pPr>
              <w:rPr>
                <w:rFonts w:eastAsiaTheme="minorEastAsia"/>
                <w:lang w:eastAsia="zh-CN"/>
              </w:rPr>
            </w:pPr>
          </w:p>
        </w:tc>
        <w:tc>
          <w:tcPr>
            <w:tcW w:w="5289" w:type="dxa"/>
          </w:tcPr>
          <w:p w14:paraId="7AB053B5" w14:textId="77777777" w:rsidR="00650F16" w:rsidRPr="00950008" w:rsidRDefault="00650F16">
            <w:pPr>
              <w:rPr>
                <w:rFonts w:eastAsiaTheme="minorEastAsia"/>
                <w:lang w:eastAsia="zh-CN"/>
              </w:rPr>
            </w:pPr>
          </w:p>
        </w:tc>
      </w:tr>
      <w:tr w:rsidR="00650F16" w:rsidRPr="00950008" w14:paraId="2F560ABE" w14:textId="77777777">
        <w:tc>
          <w:tcPr>
            <w:tcW w:w="2689" w:type="dxa"/>
          </w:tcPr>
          <w:p w14:paraId="599E9333" w14:textId="77777777" w:rsidR="00650F16" w:rsidRPr="00950008" w:rsidRDefault="00650F16">
            <w:pPr>
              <w:rPr>
                <w:rFonts w:eastAsiaTheme="minorEastAsia"/>
                <w:lang w:eastAsia="zh-CN"/>
              </w:rPr>
            </w:pPr>
          </w:p>
        </w:tc>
        <w:tc>
          <w:tcPr>
            <w:tcW w:w="7889" w:type="dxa"/>
          </w:tcPr>
          <w:p w14:paraId="3382042A" w14:textId="77777777" w:rsidR="00650F16" w:rsidRPr="00950008" w:rsidRDefault="00650F16">
            <w:pPr>
              <w:rPr>
                <w:rFonts w:eastAsiaTheme="minorEastAsia"/>
                <w:lang w:eastAsia="zh-CN"/>
              </w:rPr>
            </w:pPr>
          </w:p>
        </w:tc>
        <w:tc>
          <w:tcPr>
            <w:tcW w:w="5289" w:type="dxa"/>
          </w:tcPr>
          <w:p w14:paraId="1DE683AB" w14:textId="77777777" w:rsidR="00650F16" w:rsidRPr="00950008" w:rsidRDefault="00650F16"/>
        </w:tc>
      </w:tr>
      <w:tr w:rsidR="00650F16" w:rsidRPr="00950008" w14:paraId="6A054DE8" w14:textId="77777777">
        <w:tc>
          <w:tcPr>
            <w:tcW w:w="2689" w:type="dxa"/>
          </w:tcPr>
          <w:p w14:paraId="12E6E9C7" w14:textId="77777777" w:rsidR="00650F16" w:rsidRPr="00950008" w:rsidRDefault="00650F16">
            <w:pPr>
              <w:rPr>
                <w:rFonts w:eastAsiaTheme="minorEastAsia"/>
                <w:lang w:eastAsia="zh-CN"/>
              </w:rPr>
            </w:pPr>
          </w:p>
        </w:tc>
        <w:tc>
          <w:tcPr>
            <w:tcW w:w="7889" w:type="dxa"/>
          </w:tcPr>
          <w:p w14:paraId="3FA32719" w14:textId="77777777" w:rsidR="00650F16" w:rsidRPr="00950008" w:rsidRDefault="00650F16">
            <w:pPr>
              <w:rPr>
                <w:rFonts w:eastAsiaTheme="minorEastAsia"/>
                <w:lang w:eastAsia="zh-CN"/>
              </w:rPr>
            </w:pPr>
          </w:p>
        </w:tc>
        <w:tc>
          <w:tcPr>
            <w:tcW w:w="5289" w:type="dxa"/>
          </w:tcPr>
          <w:p w14:paraId="711FBF93" w14:textId="77777777" w:rsidR="00650F16" w:rsidRPr="00950008" w:rsidRDefault="00650F16">
            <w:pPr>
              <w:rPr>
                <w:rFonts w:eastAsiaTheme="minorEastAsia"/>
                <w:lang w:eastAsia="zh-CN"/>
              </w:rPr>
            </w:pPr>
          </w:p>
        </w:tc>
      </w:tr>
      <w:tr w:rsidR="00650F16" w:rsidRPr="00950008" w14:paraId="1AE27DEB" w14:textId="77777777">
        <w:tc>
          <w:tcPr>
            <w:tcW w:w="2689" w:type="dxa"/>
          </w:tcPr>
          <w:p w14:paraId="688A9F83" w14:textId="77777777" w:rsidR="00650F16" w:rsidRPr="00950008" w:rsidRDefault="00650F16">
            <w:pPr>
              <w:rPr>
                <w:rFonts w:eastAsiaTheme="minorEastAsia"/>
                <w:lang w:eastAsia="zh-CN"/>
              </w:rPr>
            </w:pPr>
          </w:p>
        </w:tc>
        <w:tc>
          <w:tcPr>
            <w:tcW w:w="7889" w:type="dxa"/>
          </w:tcPr>
          <w:p w14:paraId="29164373" w14:textId="77777777" w:rsidR="00650F16" w:rsidRPr="00950008" w:rsidRDefault="00650F16">
            <w:pPr>
              <w:rPr>
                <w:rFonts w:eastAsiaTheme="minorEastAsia"/>
                <w:lang w:eastAsia="zh-CN"/>
              </w:rPr>
            </w:pPr>
          </w:p>
        </w:tc>
        <w:tc>
          <w:tcPr>
            <w:tcW w:w="5289" w:type="dxa"/>
          </w:tcPr>
          <w:p w14:paraId="56266AF8" w14:textId="77777777" w:rsidR="00650F16" w:rsidRPr="00950008" w:rsidRDefault="00650F16">
            <w:pPr>
              <w:rPr>
                <w:rFonts w:eastAsiaTheme="minorEastAsia"/>
                <w:lang w:eastAsia="zh-CN"/>
              </w:rPr>
            </w:pPr>
          </w:p>
        </w:tc>
      </w:tr>
    </w:tbl>
    <w:p w14:paraId="7E056155" w14:textId="77777777" w:rsidR="00650F16" w:rsidRPr="00950008" w:rsidRDefault="00650F16">
      <w:pPr>
        <w:rPr>
          <w:lang w:eastAsia="en-GB"/>
        </w:rPr>
      </w:pPr>
    </w:p>
    <w:p w14:paraId="2F73E63A" w14:textId="77777777" w:rsidR="00650F16" w:rsidRPr="00950008" w:rsidRDefault="00650F16">
      <w:pPr>
        <w:pStyle w:val="af4"/>
        <w:ind w:left="360"/>
        <w:rPr>
          <w:lang w:eastAsia="en-GB"/>
        </w:rPr>
      </w:pPr>
    </w:p>
    <w:sectPr w:rsidR="00650F16" w:rsidRPr="00950008">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44C16" w14:textId="77777777" w:rsidR="00DD146B" w:rsidRDefault="00DD146B">
      <w:pPr>
        <w:spacing w:after="0" w:line="240" w:lineRule="auto"/>
      </w:pPr>
      <w:r>
        <w:separator/>
      </w:r>
    </w:p>
  </w:endnote>
  <w:endnote w:type="continuationSeparator" w:id="0">
    <w:p w14:paraId="74961C6F" w14:textId="77777777" w:rsidR="00DD146B" w:rsidRDefault="00DD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68199" w14:textId="77777777" w:rsidR="00DD146B" w:rsidRDefault="00DD146B">
      <w:pPr>
        <w:spacing w:after="0" w:line="240" w:lineRule="auto"/>
      </w:pPr>
      <w:r>
        <w:separator/>
      </w:r>
    </w:p>
  </w:footnote>
  <w:footnote w:type="continuationSeparator" w:id="0">
    <w:p w14:paraId="58A759E0" w14:textId="77777777" w:rsidR="00DD146B" w:rsidRDefault="00DD1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33B1A"/>
    <w:rsid w:val="000453EA"/>
    <w:rsid w:val="00053350"/>
    <w:rsid w:val="0005451A"/>
    <w:rsid w:val="000658E0"/>
    <w:rsid w:val="000659A9"/>
    <w:rsid w:val="00065ECB"/>
    <w:rsid w:val="00091FEB"/>
    <w:rsid w:val="0009651D"/>
    <w:rsid w:val="000B3630"/>
    <w:rsid w:val="000B48FC"/>
    <w:rsid w:val="000C6292"/>
    <w:rsid w:val="00114476"/>
    <w:rsid w:val="00120347"/>
    <w:rsid w:val="0012125C"/>
    <w:rsid w:val="00121CE2"/>
    <w:rsid w:val="0013540E"/>
    <w:rsid w:val="001679DC"/>
    <w:rsid w:val="001703AC"/>
    <w:rsid w:val="001838D4"/>
    <w:rsid w:val="001843B9"/>
    <w:rsid w:val="001A7887"/>
    <w:rsid w:val="001C45CE"/>
    <w:rsid w:val="001F5226"/>
    <w:rsid w:val="00233906"/>
    <w:rsid w:val="00235DE7"/>
    <w:rsid w:val="00240B69"/>
    <w:rsid w:val="00256FE7"/>
    <w:rsid w:val="002B1457"/>
    <w:rsid w:val="00300091"/>
    <w:rsid w:val="00327411"/>
    <w:rsid w:val="00343ADA"/>
    <w:rsid w:val="00362BDD"/>
    <w:rsid w:val="003A04C1"/>
    <w:rsid w:val="003D29D7"/>
    <w:rsid w:val="003E61AE"/>
    <w:rsid w:val="003F36F2"/>
    <w:rsid w:val="00407594"/>
    <w:rsid w:val="0042707A"/>
    <w:rsid w:val="0047722D"/>
    <w:rsid w:val="00500E7B"/>
    <w:rsid w:val="00511148"/>
    <w:rsid w:val="00553167"/>
    <w:rsid w:val="00557355"/>
    <w:rsid w:val="00595AF0"/>
    <w:rsid w:val="005A0920"/>
    <w:rsid w:val="005D7212"/>
    <w:rsid w:val="00624D76"/>
    <w:rsid w:val="00650561"/>
    <w:rsid w:val="00650F16"/>
    <w:rsid w:val="0065309D"/>
    <w:rsid w:val="006578C3"/>
    <w:rsid w:val="006634CB"/>
    <w:rsid w:val="006640D6"/>
    <w:rsid w:val="006871ED"/>
    <w:rsid w:val="00711A5C"/>
    <w:rsid w:val="007166C2"/>
    <w:rsid w:val="00770FB4"/>
    <w:rsid w:val="00773BD3"/>
    <w:rsid w:val="007A334C"/>
    <w:rsid w:val="007E236E"/>
    <w:rsid w:val="007E7BD6"/>
    <w:rsid w:val="00823F27"/>
    <w:rsid w:val="0084132B"/>
    <w:rsid w:val="00844F26"/>
    <w:rsid w:val="008929B2"/>
    <w:rsid w:val="008E593E"/>
    <w:rsid w:val="008F22C0"/>
    <w:rsid w:val="008F53C6"/>
    <w:rsid w:val="00940213"/>
    <w:rsid w:val="00944333"/>
    <w:rsid w:val="00950008"/>
    <w:rsid w:val="00973DAD"/>
    <w:rsid w:val="00977CFF"/>
    <w:rsid w:val="009A1CD2"/>
    <w:rsid w:val="009A26B3"/>
    <w:rsid w:val="009C0F0A"/>
    <w:rsid w:val="009E7305"/>
    <w:rsid w:val="009F1B65"/>
    <w:rsid w:val="009F4064"/>
    <w:rsid w:val="00A108CF"/>
    <w:rsid w:val="00A12880"/>
    <w:rsid w:val="00A309FC"/>
    <w:rsid w:val="00A7681A"/>
    <w:rsid w:val="00A8700F"/>
    <w:rsid w:val="00B048EB"/>
    <w:rsid w:val="00B06FEF"/>
    <w:rsid w:val="00B11246"/>
    <w:rsid w:val="00B119BE"/>
    <w:rsid w:val="00B12146"/>
    <w:rsid w:val="00B40759"/>
    <w:rsid w:val="00BC7207"/>
    <w:rsid w:val="00BF048A"/>
    <w:rsid w:val="00C47736"/>
    <w:rsid w:val="00C92075"/>
    <w:rsid w:val="00CD534D"/>
    <w:rsid w:val="00D01762"/>
    <w:rsid w:val="00D4019C"/>
    <w:rsid w:val="00D607A7"/>
    <w:rsid w:val="00D64DBF"/>
    <w:rsid w:val="00D77AB2"/>
    <w:rsid w:val="00D9108A"/>
    <w:rsid w:val="00D924B9"/>
    <w:rsid w:val="00DB5A44"/>
    <w:rsid w:val="00DC27E9"/>
    <w:rsid w:val="00DC572C"/>
    <w:rsid w:val="00DD146B"/>
    <w:rsid w:val="00DD5AF5"/>
    <w:rsid w:val="00E2600C"/>
    <w:rsid w:val="00E72407"/>
    <w:rsid w:val="00E818DF"/>
    <w:rsid w:val="00E93D55"/>
    <w:rsid w:val="00E96515"/>
    <w:rsid w:val="00EA3209"/>
    <w:rsid w:val="00EA689D"/>
    <w:rsid w:val="00EC4584"/>
    <w:rsid w:val="00ED1254"/>
    <w:rsid w:val="00EF3060"/>
    <w:rsid w:val="00F12BF5"/>
    <w:rsid w:val="00F27AA0"/>
    <w:rsid w:val="00F56763"/>
    <w:rsid w:val="00F6214A"/>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EFECA"/>
  <w15:docId w15:val="{8C78C4E0-BB0B-465A-9315-FA3344A6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굴림"/>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머리글 Char"/>
    <w:link w:val="aa"/>
    <w:qFormat/>
    <w:rPr>
      <w:rFonts w:eastAsia="Times New Roman"/>
      <w:b/>
      <w:kern w:val="0"/>
      <w:sz w:val="18"/>
      <w:szCs w:val="20"/>
      <w:lang w:eastAsia="en-GB"/>
    </w:rPr>
  </w:style>
  <w:style w:type="character" w:customStyle="1" w:styleId="Char2">
    <w:name w:val="바닥글 Char"/>
    <w:link w:val="a9"/>
    <w:qFormat/>
    <w:rPr>
      <w:rFonts w:eastAsia="Times New Roman"/>
      <w:b/>
      <w:i/>
      <w:kern w:val="0"/>
      <w:sz w:val="18"/>
      <w:szCs w:val="20"/>
      <w:lang w:val="zh-CN" w:eastAsia="zh-CN"/>
    </w:rPr>
  </w:style>
  <w:style w:type="character" w:customStyle="1" w:styleId="Char4">
    <w:name w:val="각주 텍스트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4">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7"/>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d"/>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4"/>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rPr>
      <w:rFonts w:eastAsia="굴림"/>
      <w:sz w:val="24"/>
      <w:szCs w:val="24"/>
    </w:rPr>
  </w:style>
  <w:style w:type="character" w:customStyle="1" w:styleId="Char">
    <w:name w:val="문서 구조 Char"/>
    <w:basedOn w:val="a0"/>
    <w:link w:val="a6"/>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굴림"/>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6">
    <w:name w:val="확인되지 않은 멘션2"/>
    <w:basedOn w:val="a0"/>
    <w:uiPriority w:val="99"/>
    <w:semiHidden/>
    <w:unhideWhenUsed/>
    <w:rsid w:val="00A12880"/>
    <w:rPr>
      <w:color w:val="605E5C"/>
      <w:shd w:val="clear" w:color="auto" w:fill="E1DFDD"/>
    </w:rPr>
  </w:style>
  <w:style w:type="character" w:styleId="af5">
    <w:name w:val="Unresolved Mention"/>
    <w:basedOn w:val="a0"/>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ussi-pekka.koskinen@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imjh@etri.re.kr" TargetMode="External"/><Relationship Id="rId2" Type="http://schemas.openxmlformats.org/officeDocument/2006/relationships/customXml" Target="../customXml/item2.xml"/><Relationship Id="rId16" Type="http://schemas.openxmlformats.org/officeDocument/2006/relationships/hyperlink" Target="mailto:faris.alfarhan@interdigital.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nxue@oppo.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ilag@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B6A049-E0EC-4B79-AAE8-B3130EFD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3725</Words>
  <Characters>21234</Characters>
  <Application>Microsoft Office Word</Application>
  <DocSecurity>0</DocSecurity>
  <Lines>176</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kimjh</cp:lastModifiedBy>
  <cp:revision>3</cp:revision>
  <dcterms:created xsi:type="dcterms:W3CDTF">2021-03-11T04:51:00Z</dcterms:created>
  <dcterms:modified xsi:type="dcterms:W3CDTF">2021-03-11T04:53:00Z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