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024" w14:textId="77777777" w:rsidR="00650F16" w:rsidRDefault="00FC00DF" w:rsidP="007E236E">
      <w:pPr>
        <w:keepLines/>
        <w:snapToGrid w:val="0"/>
        <w:spacing w:line="276" w:lineRule="auto"/>
        <w:rPr>
          <w:rFonts w:eastAsia="宋体" w:cs="Arial"/>
          <w:b/>
          <w:sz w:val="28"/>
          <w:szCs w:val="28"/>
          <w:lang w:eastAsia="en-US"/>
        </w:rPr>
      </w:pPr>
      <w:r>
        <w:rPr>
          <w:rFonts w:eastAsia="宋体" w:cs="Arial"/>
          <w:b/>
          <w:sz w:val="28"/>
          <w:szCs w:val="28"/>
          <w:lang w:eastAsia="en-US"/>
        </w:rPr>
        <w:t>3GPP TSG-RAN2 Meeti</w:t>
      </w:r>
      <w:r w:rsidR="007E236E">
        <w:rPr>
          <w:rFonts w:eastAsia="宋体" w:cs="Arial"/>
          <w:b/>
          <w:sz w:val="28"/>
          <w:szCs w:val="28"/>
          <w:lang w:eastAsia="en-US"/>
        </w:rPr>
        <w:t>ng #113-bis-e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r>
        <w:rPr>
          <w:rFonts w:eastAsia="宋体"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t xml:space="preserve">      </w:t>
      </w:r>
      <w:r>
        <w:rPr>
          <w:rFonts w:cs="Arial"/>
          <w:b/>
          <w:bCs/>
          <w:color w:val="9FD3A4"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f5"/>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f5"/>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f5"/>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the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bl>
    <w:p w14:paraId="776B6961" w14:textId="77777777" w:rsidR="00650F16"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f5"/>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lastRenderedPageBreak/>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lastRenderedPageBreak/>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gurantee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non-SDT DRBs would require an LCP restriction to ensure only SDT DRBs are multiplexed on SDT resources. Option 2 is also inline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14:paraId="5F759731"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14:paraId="3D3628D0"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5"/>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lastRenderedPageBreak/>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b"/>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14:paraId="341DDBC1"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case where the security material is repeated would seem not ideal in anycase.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bl>
    <w:p w14:paraId="6E26D7F5"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lastRenderedPageBreak/>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b"/>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Xn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retrievial, the target gNB is not able to  decode the DCCH message, but is able to decode the MAC CE. </w:t>
            </w:r>
            <w:r w:rsidR="00E93D55">
              <w:rPr>
                <w:rFonts w:eastAsiaTheme="minorEastAsia" w:cs="Arial"/>
                <w:snapToGrid w:val="0"/>
                <w:sz w:val="20"/>
                <w:szCs w:val="20"/>
                <w:lang w:eastAsia="zh-CN"/>
              </w:rPr>
              <w:t xml:space="preserve">In order to reumse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hich node to decode the indication would result in different signaling procedure between Xn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adpoted</w:t>
            </w:r>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reponse</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lastRenderedPageBreak/>
              <w:t>Target gNB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can be aware of the arrivial of non-SDT data</w:t>
            </w:r>
            <w:r w:rsidR="007E7BD6">
              <w:rPr>
                <w:rFonts w:eastAsiaTheme="minorEastAsia" w:cs="Arial"/>
                <w:snapToGrid w:val="0"/>
                <w:sz w:val="20"/>
                <w:szCs w:val="20"/>
                <w:lang w:eastAsia="zh-CN"/>
              </w:rPr>
              <w:t xml:space="preserve"> after decoding the DCCH messsage</w:t>
            </w:r>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the perspective to follow the legacy request-reponse Xn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r>
              <w:rPr>
                <w:rFonts w:cs="Arial"/>
                <w:snapToGrid w:val="0"/>
                <w:sz w:val="20"/>
                <w:szCs w:val="20"/>
              </w:rPr>
              <w:lastRenderedPageBreak/>
              <w:t>InterDigital</w:t>
            </w:r>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bl>
    <w:p w14:paraId="6E2F3660"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network does not know the security key used for ciphering of the RRCResumeRequest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intented for transmission on dedicated grants, while MgsA/Msg3 grants can face contention and the UE </w:t>
            </w:r>
            <w:r>
              <w:rPr>
                <w:rFonts w:cs="Arial"/>
                <w:snapToGrid w:val="0"/>
                <w:sz w:val="20"/>
                <w:szCs w:val="20"/>
              </w:rPr>
              <w:lastRenderedPageBreak/>
              <w:t xml:space="preserve">identity is not necessarily known. The UE context may also be unknown for a RA at the target gNB. Typically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lastRenderedPageBreak/>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lastRenderedPageBreak/>
        <w:t>SN terminated MCG bearer</w:t>
      </w:r>
    </w:p>
    <w:p w14:paraId="1D261E1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5"/>
        <w:tblW w:w="0" w:type="auto"/>
        <w:tblLook w:val="04A0" w:firstRow="1" w:lastRow="0" w:firstColumn="1" w:lastColumn="0" w:noHBand="0" w:noVBand="1"/>
      </w:tblPr>
      <w:tblGrid>
        <w:gridCol w:w="1150"/>
        <w:gridCol w:w="528"/>
        <w:gridCol w:w="461"/>
        <w:gridCol w:w="461"/>
        <w:gridCol w:w="461"/>
        <w:gridCol w:w="461"/>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1843B9">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1843B9">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1843B9">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1843B9">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1843B9">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r w:rsidR="00E96515" w14:paraId="7F9B65A4" w14:textId="77777777" w:rsidTr="001843B9">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1843B9">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1843B9">
        <w:tc>
          <w:tcPr>
            <w:tcW w:w="1150" w:type="dxa"/>
          </w:tcPr>
          <w:p w14:paraId="3A975258" w14:textId="1A743274"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1843B9">
        <w:tc>
          <w:tcPr>
            <w:tcW w:w="1150" w:type="dxa"/>
          </w:tcPr>
          <w:p w14:paraId="3019EFA8" w14:textId="1E8F003D" w:rsidR="001843B9" w:rsidRDefault="001843B9" w:rsidP="001843B9">
            <w:pPr>
              <w:snapToGrid w:val="0"/>
              <w:rPr>
                <w:rFonts w:cs="Arial"/>
                <w:snapToGrid w:val="0"/>
                <w:sz w:val="20"/>
                <w:szCs w:val="20"/>
              </w:rPr>
            </w:pPr>
            <w:bookmarkStart w:id="3" w:name="_GoBack" w:colFirst="0" w:colLast="0"/>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hint="eastAsia"/>
                <w:snapToGrid w:val="0"/>
                <w:sz w:val="20"/>
                <w:szCs w:val="20"/>
              </w:rPr>
            </w:pPr>
            <w:r>
              <w:rPr>
                <w:rFonts w:cs="Arial" w:hint="eastAsia"/>
                <w:snapToGrid w:val="0"/>
                <w:sz w:val="20"/>
                <w:szCs w:val="20"/>
              </w:rPr>
              <w:t>Yes</w:t>
            </w:r>
          </w:p>
        </w:tc>
        <w:tc>
          <w:tcPr>
            <w:tcW w:w="461" w:type="dxa"/>
          </w:tcPr>
          <w:p w14:paraId="561FA3CA" w14:textId="44D770C3" w:rsidR="001843B9" w:rsidRDefault="001843B9" w:rsidP="001843B9">
            <w:pPr>
              <w:snapToGrid w:val="0"/>
              <w:rPr>
                <w:rFonts w:cs="Arial" w:hint="eastAsia"/>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hint="eastAsia"/>
                <w:snapToGrid w:val="0"/>
                <w:sz w:val="20"/>
                <w:szCs w:val="20"/>
              </w:rPr>
            </w:pPr>
            <w:r>
              <w:rPr>
                <w:rFonts w:cs="Arial" w:hint="eastAsia"/>
                <w:snapToGrid w:val="0"/>
                <w:sz w:val="20"/>
                <w:szCs w:val="20"/>
              </w:rPr>
              <w:t>No</w:t>
            </w:r>
          </w:p>
        </w:tc>
        <w:tc>
          <w:tcPr>
            <w:tcW w:w="461" w:type="dxa"/>
          </w:tcPr>
          <w:p w14:paraId="77B5984E" w14:textId="61F56A43" w:rsidR="001843B9" w:rsidRDefault="001843B9" w:rsidP="001843B9">
            <w:pPr>
              <w:snapToGrid w:val="0"/>
              <w:rPr>
                <w:rFonts w:cs="Arial" w:hint="eastAsia"/>
                <w:snapToGrid w:val="0"/>
                <w:sz w:val="20"/>
                <w:szCs w:val="20"/>
              </w:rPr>
            </w:pPr>
            <w:r>
              <w:rPr>
                <w:rFonts w:cs="Arial" w:hint="eastAsia"/>
                <w:snapToGrid w:val="0"/>
                <w:sz w:val="20"/>
                <w:szCs w:val="20"/>
              </w:rPr>
              <w:t>No</w:t>
            </w:r>
          </w:p>
        </w:tc>
        <w:tc>
          <w:tcPr>
            <w:tcW w:w="461" w:type="dxa"/>
          </w:tcPr>
          <w:p w14:paraId="0CA0F2E2" w14:textId="1EFA771D" w:rsidR="001843B9" w:rsidRDefault="001843B9" w:rsidP="001843B9">
            <w:pPr>
              <w:snapToGrid w:val="0"/>
              <w:rPr>
                <w:rFonts w:cs="Arial" w:hint="eastAsia"/>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hint="eastAsia"/>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bookmarkEnd w:id="3"/>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b"/>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b"/>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afb"/>
        <w:ind w:left="360"/>
        <w:rPr>
          <w:lang w:val="en-GB" w:eastAsia="en-GB"/>
        </w:rPr>
      </w:pPr>
    </w:p>
    <w:p w14:paraId="0D87B00E" w14:textId="77777777" w:rsidR="00650F16" w:rsidRDefault="00FC00DF">
      <w:pPr>
        <w:pStyle w:val="1"/>
        <w:rPr>
          <w:snapToGrid w:val="0"/>
        </w:rPr>
      </w:pPr>
      <w:r>
        <w:rPr>
          <w:snapToGrid w:val="0"/>
        </w:rPr>
        <w:lastRenderedPageBreak/>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af8"/>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1843B9"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r w:rsidRPr="00121CE2">
              <w:rPr>
                <w:lang w:val="fr-FR" w:eastAsia="en-GB"/>
              </w:rPr>
              <w:t>Jussi Koskinen (</w:t>
            </w:r>
            <w:hyperlink r:id="rId14" w:history="1">
              <w:r w:rsidRPr="00121CE2">
                <w:rPr>
                  <w:rStyle w:val="af8"/>
                  <w:lang w:val="fr-FR" w:eastAsia="en-GB"/>
                </w:rPr>
                <w:t>Jussi-pekka.koskinen@nokia.com</w:t>
              </w:r>
            </w:hyperlink>
            <w:r w:rsidRPr="00121CE2">
              <w:rPr>
                <w:lang w:val="fr-FR" w:eastAsia="en-GB"/>
              </w:rPr>
              <w:t>)</w:t>
            </w:r>
          </w:p>
        </w:tc>
        <w:tc>
          <w:tcPr>
            <w:tcW w:w="5289" w:type="dxa"/>
          </w:tcPr>
          <w:p w14:paraId="3CB1F651" w14:textId="77777777" w:rsidR="00650F16" w:rsidRPr="00121CE2" w:rsidRDefault="00F6214A">
            <w:pPr>
              <w:rPr>
                <w:lang w:val="fr-FR"/>
              </w:rPr>
            </w:pPr>
            <w:hyperlink r:id="rId15" w:history="1">
              <w:r w:rsidR="00FC00DF" w:rsidRPr="00121CE2">
                <w:rPr>
                  <w:rStyle w:val="af8"/>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Anil Agiwal (</w:t>
            </w:r>
            <w:hyperlink r:id="rId16" w:history="1">
              <w:r w:rsidRPr="00B84851">
                <w:rPr>
                  <w:rStyle w:val="af8"/>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af8"/>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Faris Alfarhan (</w:t>
            </w:r>
            <w:hyperlink r:id="rId18" w:history="1">
              <w:r w:rsidRPr="008C7530">
                <w:rPr>
                  <w:rStyle w:val="af8"/>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77777777" w:rsidR="00650F16" w:rsidRPr="00950008" w:rsidRDefault="00650F16">
            <w:pPr>
              <w:rPr>
                <w:rFonts w:eastAsiaTheme="minorEastAsia"/>
                <w:lang w:eastAsia="zh-CN"/>
              </w:rPr>
            </w:pPr>
          </w:p>
        </w:tc>
        <w:tc>
          <w:tcPr>
            <w:tcW w:w="7889" w:type="dxa"/>
          </w:tcPr>
          <w:p w14:paraId="56B0BAC1" w14:textId="77777777" w:rsidR="00650F16" w:rsidRPr="00950008" w:rsidRDefault="00650F16">
            <w:pPr>
              <w:rPr>
                <w:rFonts w:eastAsiaTheme="minorEastAsia"/>
                <w:lang w:eastAsia="zh-CN"/>
              </w:rPr>
            </w:pP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77777777" w:rsidR="00650F16" w:rsidRPr="00950008" w:rsidRDefault="00650F16">
            <w:pPr>
              <w:rPr>
                <w:rFonts w:eastAsiaTheme="minorEastAsia"/>
                <w:lang w:eastAsia="zh-CN"/>
              </w:rPr>
            </w:pPr>
          </w:p>
        </w:tc>
        <w:tc>
          <w:tcPr>
            <w:tcW w:w="7889" w:type="dxa"/>
          </w:tcPr>
          <w:p w14:paraId="18E3716A" w14:textId="77777777" w:rsidR="00650F16" w:rsidRPr="00950008" w:rsidRDefault="00650F16">
            <w:pPr>
              <w:rPr>
                <w:rFonts w:eastAsiaTheme="minorEastAsia"/>
                <w:lang w:eastAsia="zh-CN"/>
              </w:rPr>
            </w:pP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77777777" w:rsidR="00650F16" w:rsidRPr="00950008" w:rsidRDefault="00650F16">
            <w:pPr>
              <w:rPr>
                <w:rFonts w:eastAsiaTheme="minorEastAsia"/>
                <w:lang w:eastAsia="zh-CN"/>
              </w:rPr>
            </w:pPr>
          </w:p>
        </w:tc>
        <w:tc>
          <w:tcPr>
            <w:tcW w:w="7889" w:type="dxa"/>
          </w:tcPr>
          <w:p w14:paraId="6A8CC68F" w14:textId="77777777" w:rsidR="00650F16" w:rsidRPr="00950008" w:rsidRDefault="00650F16">
            <w:pPr>
              <w:rPr>
                <w:rFonts w:eastAsiaTheme="minorEastAsia"/>
                <w:lang w:eastAsia="zh-CN"/>
              </w:rPr>
            </w:pP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950008" w:rsidRDefault="00650F16">
            <w:pPr>
              <w:rPr>
                <w:rFonts w:eastAsiaTheme="minorEastAsia"/>
                <w:lang w:eastAsia="zh-CN"/>
              </w:rPr>
            </w:pPr>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afb"/>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D8A19" w14:textId="77777777" w:rsidR="00F6214A" w:rsidRDefault="00F6214A">
      <w:pPr>
        <w:spacing w:after="0" w:line="240" w:lineRule="auto"/>
      </w:pPr>
      <w:r>
        <w:separator/>
      </w:r>
    </w:p>
  </w:endnote>
  <w:endnote w:type="continuationSeparator" w:id="0">
    <w:p w14:paraId="33B4BB33" w14:textId="77777777" w:rsidR="00F6214A" w:rsidRDefault="00F6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A3A8" w14:textId="77777777" w:rsidR="00F6214A" w:rsidRDefault="00F6214A">
      <w:pPr>
        <w:spacing w:after="0" w:line="240" w:lineRule="auto"/>
      </w:pPr>
      <w:r>
        <w:separator/>
      </w:r>
    </w:p>
  </w:footnote>
  <w:footnote w:type="continuationSeparator" w:id="0">
    <w:p w14:paraId="42344DC6" w14:textId="77777777" w:rsidR="00F6214A" w:rsidRDefault="00F62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33B1A"/>
    <w:rsid w:val="000453EA"/>
    <w:rsid w:val="00053350"/>
    <w:rsid w:val="0005451A"/>
    <w:rsid w:val="000658E0"/>
    <w:rsid w:val="000659A9"/>
    <w:rsid w:val="00065ECB"/>
    <w:rsid w:val="00091FEB"/>
    <w:rsid w:val="0009651D"/>
    <w:rsid w:val="000B3630"/>
    <w:rsid w:val="000B48FC"/>
    <w:rsid w:val="000C6292"/>
    <w:rsid w:val="00114476"/>
    <w:rsid w:val="00120347"/>
    <w:rsid w:val="0012125C"/>
    <w:rsid w:val="00121CE2"/>
    <w:rsid w:val="0013540E"/>
    <w:rsid w:val="001679DC"/>
    <w:rsid w:val="001703AC"/>
    <w:rsid w:val="001838D4"/>
    <w:rsid w:val="001843B9"/>
    <w:rsid w:val="001A7887"/>
    <w:rsid w:val="001C45CE"/>
    <w:rsid w:val="001F5226"/>
    <w:rsid w:val="00233906"/>
    <w:rsid w:val="00235DE7"/>
    <w:rsid w:val="00240B69"/>
    <w:rsid w:val="00256FE7"/>
    <w:rsid w:val="002B145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70FB4"/>
    <w:rsid w:val="00773BD3"/>
    <w:rsid w:val="007A334C"/>
    <w:rsid w:val="007E236E"/>
    <w:rsid w:val="007E7BD6"/>
    <w:rsid w:val="00823F27"/>
    <w:rsid w:val="0084132B"/>
    <w:rsid w:val="008E593E"/>
    <w:rsid w:val="008F22C0"/>
    <w:rsid w:val="008F53C6"/>
    <w:rsid w:val="00944333"/>
    <w:rsid w:val="00950008"/>
    <w:rsid w:val="00973DAD"/>
    <w:rsid w:val="00977CFF"/>
    <w:rsid w:val="009A1CD2"/>
    <w:rsid w:val="009C0F0A"/>
    <w:rsid w:val="009E7305"/>
    <w:rsid w:val="009F1B65"/>
    <w:rsid w:val="009F4064"/>
    <w:rsid w:val="00A108CF"/>
    <w:rsid w:val="00A12880"/>
    <w:rsid w:val="00A309FC"/>
    <w:rsid w:val="00A7681A"/>
    <w:rsid w:val="00A8700F"/>
    <w:rsid w:val="00B048EB"/>
    <w:rsid w:val="00B06FEF"/>
    <w:rsid w:val="00B11246"/>
    <w:rsid w:val="00B119BE"/>
    <w:rsid w:val="00B12146"/>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5AF5"/>
    <w:rsid w:val="00E2600C"/>
    <w:rsid w:val="00E72407"/>
    <w:rsid w:val="00E818DF"/>
    <w:rsid w:val="00E93D55"/>
    <w:rsid w:val="00E96515"/>
    <w:rsid w:val="00EA3209"/>
    <w:rsid w:val="00EA689D"/>
    <w:rsid w:val="00EC4584"/>
    <w:rsid w:val="00ED1254"/>
    <w:rsid w:val="00EF3060"/>
    <w:rsid w:val="00F12BF5"/>
    <w:rsid w:val="00F27AA0"/>
    <w:rsid w:val="00F6214A"/>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8C78C4E0-BB0B-465A-9315-FA3344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UnresolvedMention">
    <w:name w:val="Unresolved Mention"/>
    <w:basedOn w:val="a0"/>
    <w:uiPriority w:val="99"/>
    <w:semiHidden/>
    <w:unhideWhenUsed/>
    <w:rsid w:val="00A12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faris.alfarhan@interdigital.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47FD97A-A99B-47B2-A591-A954D316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zcm</cp:lastModifiedBy>
  <cp:revision>7</cp:revision>
  <dcterms:created xsi:type="dcterms:W3CDTF">2021-03-10T14:20:00Z</dcterms:created>
  <dcterms:modified xsi:type="dcterms:W3CDTF">2021-03-11T01:42:00Z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