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4C848363" w:rsidR="00D5074B" w:rsidRDefault="00A562D5">
      <w:pPr>
        <w:pStyle w:val="Header"/>
        <w:tabs>
          <w:tab w:val="right" w:pos="9639"/>
        </w:tabs>
        <w:rPr>
          <w:bCs/>
          <w:i/>
          <w:sz w:val="24"/>
          <w:szCs w:val="24"/>
        </w:rPr>
      </w:pPr>
      <w:r>
        <w:rPr>
          <w:bCs/>
          <w:sz w:val="24"/>
          <w:szCs w:val="24"/>
        </w:rPr>
        <w:t>3GPP TSG-RAN WG2 Meeting #11</w:t>
      </w:r>
      <w:r w:rsidR="00087D86">
        <w:rPr>
          <w:bCs/>
          <w:sz w:val="24"/>
          <w:szCs w:val="24"/>
        </w:rPr>
        <w:t>4</w:t>
      </w:r>
      <w:r>
        <w:rPr>
          <w:bCs/>
          <w:sz w:val="24"/>
          <w:szCs w:val="24"/>
        </w:rPr>
        <w:t xml:space="preserve"> Electronic</w:t>
      </w:r>
      <w:r>
        <w:rPr>
          <w:bCs/>
          <w:sz w:val="24"/>
          <w:szCs w:val="24"/>
        </w:rPr>
        <w:tab/>
      </w:r>
      <w:r w:rsidR="00087D86">
        <w:rPr>
          <w:bCs/>
          <w:sz w:val="24"/>
          <w:szCs w:val="24"/>
        </w:rPr>
        <w:t>R2-21xxxxx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12B13D4B"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1A35D3FC"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D2486">
        <w:rPr>
          <w:rFonts w:ascii="Arial" w:hAnsi="Arial" w:cs="Arial"/>
          <w:b/>
          <w:bCs/>
          <w:sz w:val="24"/>
        </w:rPr>
        <w:t xml:space="preserve">Summary of </w:t>
      </w:r>
      <w:r>
        <w:rPr>
          <w:rFonts w:ascii="Arial" w:hAnsi="Arial" w:cs="Arial"/>
          <w:b/>
          <w:bCs/>
          <w:sz w:val="24"/>
        </w:rPr>
        <w:t>[Post11</w:t>
      </w:r>
      <w:r w:rsidR="00087D86">
        <w:rPr>
          <w:rFonts w:ascii="Arial" w:hAnsi="Arial" w:cs="Arial"/>
          <w:b/>
          <w:bCs/>
          <w:sz w:val="24"/>
        </w:rPr>
        <w:t>3</w:t>
      </w:r>
      <w:r>
        <w:rPr>
          <w:rFonts w:ascii="Arial" w:hAnsi="Arial" w:cs="Arial"/>
          <w:b/>
          <w:bCs/>
          <w:sz w:val="24"/>
        </w:rPr>
        <w:t>-e][</w:t>
      </w:r>
      <w:r w:rsidR="00087D86">
        <w:rPr>
          <w:rFonts w:ascii="Arial" w:hAnsi="Arial" w:cs="Arial"/>
          <w:b/>
          <w:bCs/>
          <w:sz w:val="24"/>
        </w:rPr>
        <w:t>234</w:t>
      </w:r>
      <w:r>
        <w:rPr>
          <w:rFonts w:ascii="Arial" w:hAnsi="Arial" w:cs="Arial"/>
          <w:b/>
          <w:bCs/>
          <w:sz w:val="24"/>
        </w:rPr>
        <w:t xml:space="preserve">][eDCCA] </w:t>
      </w:r>
      <w:r w:rsidR="00087D86" w:rsidRPr="00087D86">
        <w:rPr>
          <w:rFonts w:ascii="Arial" w:hAnsi="Arial" w:cs="Arial"/>
          <w:b/>
          <w:bCs/>
          <w:sz w:val="24"/>
        </w:rPr>
        <w:t>CPAC procedures (CATT)</w:t>
      </w:r>
      <w:r>
        <w:rPr>
          <w:rFonts w:ascii="Arial" w:hAnsi="Arial" w:cs="Arial"/>
          <w:b/>
          <w:bCs/>
          <w:sz w:val="24"/>
        </w:rPr>
        <w:t xml:space="preserve">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4CA70199" w14:textId="77777777" w:rsidR="00C310D9" w:rsidRDefault="00C310D9" w:rsidP="00C310D9">
      <w:pPr>
        <w:pStyle w:val="EmailDiscussion"/>
        <w:numPr>
          <w:ilvl w:val="0"/>
          <w:numId w:val="0"/>
        </w:numPr>
        <w:ind w:left="1619"/>
      </w:pPr>
      <w:r>
        <w:t>[Post113-e][234][eDCCA] CPAC procedures (CATT)</w:t>
      </w:r>
    </w:p>
    <w:p w14:paraId="3DF528B1" w14:textId="77777777" w:rsidR="00C310D9" w:rsidRDefault="00C310D9" w:rsidP="00C310D9">
      <w:pPr>
        <w:pStyle w:val="EmailDiscussion"/>
        <w:numPr>
          <w:ilvl w:val="0"/>
          <w:numId w:val="0"/>
        </w:numPr>
        <w:ind w:left="1619"/>
      </w:pPr>
      <w:r>
        <w:t>Scope: Continue discussion on CPAC procedures, including P1-4 from R2-2101970 and CPAC/CHO coexistence. Attempt to provide Stage-2 signalling flows for CPAC procedures.</w:t>
      </w:r>
    </w:p>
    <w:p w14:paraId="0126ED8A" w14:textId="38220F48" w:rsidR="00C310D9" w:rsidRDefault="00C310D9" w:rsidP="00C310D9">
      <w:pPr>
        <w:pStyle w:val="EmailDiscussion"/>
        <w:numPr>
          <w:ilvl w:val="0"/>
          <w:numId w:val="0"/>
        </w:numPr>
        <w:ind w:left="1619"/>
      </w:pPr>
      <w:r>
        <w:t>Intended outcome: Discussion report + Stage-2 TP</w:t>
      </w:r>
    </w:p>
    <w:p w14:paraId="4D737570" w14:textId="0DB10278" w:rsidR="00C310D9" w:rsidRDefault="00C310D9" w:rsidP="00C310D9">
      <w:pPr>
        <w:pStyle w:val="EmailDiscussion"/>
        <w:numPr>
          <w:ilvl w:val="0"/>
          <w:numId w:val="0"/>
        </w:numPr>
        <w:ind w:left="1619"/>
      </w:pPr>
      <w:r>
        <w:t>Deadline:  Long- 26</w:t>
      </w:r>
      <w:r w:rsidRPr="00C310D9">
        <w:rPr>
          <w:vertAlign w:val="superscript"/>
        </w:rPr>
        <w:t>th</w:t>
      </w:r>
      <w:r>
        <w:t xml:space="preserve"> March 2021 @ 1100 UTC</w:t>
      </w:r>
    </w:p>
    <w:p w14:paraId="659CFAC0" w14:textId="77777777" w:rsidR="00D5074B" w:rsidRDefault="00D5074B">
      <w:pPr>
        <w:pStyle w:val="EmailDiscussion2"/>
      </w:pPr>
    </w:p>
    <w:p w14:paraId="659CFACA" w14:textId="77777777" w:rsidR="00D5074B" w:rsidRDefault="00D5074B">
      <w:pPr>
        <w:jc w:val="both"/>
      </w:pPr>
    </w:p>
    <w:p w14:paraId="5AB869BE" w14:textId="688E0DE1" w:rsidR="00C310D9" w:rsidRDefault="00087D86">
      <w:pPr>
        <w:jc w:val="both"/>
      </w:pPr>
      <w:r>
        <w:t>Rapporteur plans</w:t>
      </w:r>
      <w:r w:rsidR="00C310D9">
        <w:t xml:space="preserve"> to have an intermediate deadline on the discussion of solutions (phase 1). This is to understand solutions and identify any issue associated with the solutions(s).</w:t>
      </w:r>
    </w:p>
    <w:p w14:paraId="2A750EB7" w14:textId="09AC5FAD" w:rsidR="00C310D9" w:rsidRDefault="00C310D9">
      <w:pPr>
        <w:jc w:val="both"/>
      </w:pPr>
      <w:r>
        <w:t>Phase 1 deadline: 5</w:t>
      </w:r>
      <w:r w:rsidRPr="00C310D9">
        <w:rPr>
          <w:vertAlign w:val="superscript"/>
        </w:rPr>
        <w:t>th</w:t>
      </w:r>
      <w:r>
        <w:t xml:space="preserve"> March 2021 @ 1100 UTC</w:t>
      </w:r>
    </w:p>
    <w:p w14:paraId="07D82266" w14:textId="7D114205" w:rsidR="00C310D9" w:rsidRDefault="00C310D9">
      <w:pPr>
        <w:jc w:val="both"/>
      </w:pPr>
      <w:r>
        <w:t>Phase 2 deadline: 26</w:t>
      </w:r>
      <w:r w:rsidRPr="00C310D9">
        <w:rPr>
          <w:vertAlign w:val="superscript"/>
        </w:rPr>
        <w:t>th</w:t>
      </w:r>
      <w:r>
        <w:t xml:space="preserve"> March 2021 @ 1100 UTC</w:t>
      </w:r>
    </w:p>
    <w:p w14:paraId="659CFACB" w14:textId="77777777" w:rsidR="00D5074B" w:rsidRDefault="00A562D5">
      <w:pPr>
        <w:pStyle w:val="Heading1"/>
      </w:pPr>
      <w:r>
        <w:t>2</w:t>
      </w:r>
      <w:r>
        <w:tab/>
        <w:t>Discussion</w:t>
      </w:r>
    </w:p>
    <w:p w14:paraId="659CFACC" w14:textId="2379985C" w:rsidR="00D5074B" w:rsidRDefault="00A562D5">
      <w:pPr>
        <w:rPr>
          <w:b/>
          <w:sz w:val="28"/>
          <w:szCs w:val="28"/>
        </w:rPr>
      </w:pPr>
      <w:r>
        <w:rPr>
          <w:b/>
          <w:sz w:val="28"/>
          <w:szCs w:val="28"/>
        </w:rPr>
        <w:t xml:space="preserve">2.1 </w:t>
      </w:r>
      <w:r w:rsidR="00C310D9">
        <w:rPr>
          <w:b/>
          <w:sz w:val="28"/>
          <w:szCs w:val="28"/>
        </w:rPr>
        <w:t>Phase 1: Discussion of solutions</w:t>
      </w:r>
      <w:r w:rsidR="003B0EA7">
        <w:rPr>
          <w:b/>
          <w:sz w:val="28"/>
          <w:szCs w:val="28"/>
        </w:rPr>
        <w:t xml:space="preserve"> for SN initiated inter-SN CPC</w:t>
      </w:r>
    </w:p>
    <w:p w14:paraId="04CCCBCA" w14:textId="4F67E8FE" w:rsidR="0037573D" w:rsidRDefault="0037573D">
      <w:pPr>
        <w:jc w:val="both"/>
        <w:rPr>
          <w:bCs/>
          <w:iCs/>
        </w:rPr>
      </w:pPr>
      <w:r>
        <w:rPr>
          <w:bCs/>
          <w:iCs/>
        </w:rPr>
        <w:t xml:space="preserve">At RAN2_112-e meeting, the following agreement was made on SN initiated inter-SN CPC. </w:t>
      </w:r>
    </w:p>
    <w:p w14:paraId="74049E02" w14:textId="77777777" w:rsidR="0037573D" w:rsidRPr="00CC6567" w:rsidRDefault="0037573D" w:rsidP="0037573D">
      <w:pPr>
        <w:pStyle w:val="Doc-text2"/>
      </w:pPr>
    </w:p>
    <w:p w14:paraId="702EB22D"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PSCell change. </w:t>
      </w:r>
    </w:p>
    <w:p w14:paraId="4A766780"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5B0EDEC" w14:textId="77777777" w:rsidR="0037573D" w:rsidRPr="00CC6567" w:rsidRDefault="0037573D" w:rsidP="0037573D">
      <w:pPr>
        <w:pStyle w:val="Doc-text2"/>
        <w:ind w:left="0" w:firstLine="0"/>
        <w:rPr>
          <w:b/>
          <w:bCs/>
          <w:i/>
          <w:iCs/>
        </w:rPr>
      </w:pPr>
    </w:p>
    <w:p w14:paraId="15FF0FF6" w14:textId="7E053E7B" w:rsidR="0037573D" w:rsidRDefault="0037573D" w:rsidP="0037573D">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5141765" w14:textId="2CB758F7" w:rsidR="0037573D" w:rsidRDefault="0037573D" w:rsidP="0037573D">
      <w:pPr>
        <w:spacing w:line="256" w:lineRule="auto"/>
        <w:jc w:val="both"/>
        <w:rPr>
          <w:rFonts w:eastAsia="Helvetica"/>
          <w:lang w:val="en-US"/>
        </w:rPr>
      </w:pPr>
      <w:r>
        <w:rPr>
          <w:rFonts w:eastAsia="Helvetica"/>
          <w:lang w:val="en-US"/>
        </w:rPr>
        <w:lastRenderedPageBreak/>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w:t>
      </w:r>
      <w:r w:rsidR="00087D86">
        <w:rPr>
          <w:rFonts w:eastAsia="Helvetica"/>
          <w:lang w:val="en-US"/>
        </w:rPr>
        <w:t>RRC</w:t>
      </w:r>
      <w:r>
        <w:rPr>
          <w:rFonts w:eastAsia="Helvetica"/>
          <w:lang w:val="en-US"/>
        </w:rPr>
        <w:t>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commentRangeStart w:id="0"/>
    <w:p w14:paraId="767D7A91" w14:textId="445DC76C" w:rsidR="00087D86" w:rsidRDefault="00087D86" w:rsidP="0037573D">
      <w:pPr>
        <w:spacing w:line="256" w:lineRule="auto"/>
        <w:jc w:val="both"/>
        <w:rPr>
          <w:rFonts w:eastAsia="Helvetica"/>
          <w:lang w:val="en-US"/>
        </w:rPr>
      </w:pPr>
      <w:r>
        <w:object w:dxaOrig="10930" w:dyaOrig="7330" w14:anchorId="7821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23.25pt" o:ole="">
            <v:imagedata r:id="rId13" o:title=""/>
          </v:shape>
          <o:OLEObject Type="Embed" ProgID="Visio.Drawing.11" ShapeID="_x0000_i1025" DrawAspect="Content" ObjectID="_1675853348" r:id="rId14"/>
        </w:object>
      </w:r>
      <w:commentRangeEnd w:id="0"/>
      <w:r w:rsidR="000A74EC">
        <w:rPr>
          <w:rStyle w:val="CommentReference"/>
        </w:rPr>
        <w:commentReference w:id="0"/>
      </w:r>
    </w:p>
    <w:p w14:paraId="6A6AB39C" w14:textId="77777777" w:rsidR="0037573D" w:rsidRDefault="0037573D" w:rsidP="0037573D">
      <w:pPr>
        <w:spacing w:line="256" w:lineRule="auto"/>
        <w:jc w:val="both"/>
        <w:rPr>
          <w:rFonts w:eastAsia="Helvetica"/>
          <w:b/>
          <w:lang w:val="en-US"/>
        </w:rPr>
      </w:pPr>
    </w:p>
    <w:p w14:paraId="1A79573E" w14:textId="1571950E" w:rsidR="0037573D" w:rsidRDefault="0037573D" w:rsidP="0037573D">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w:t>
      </w:r>
      <w:r w:rsidR="00545496">
        <w:rPr>
          <w:rFonts w:ascii="Arial" w:hAnsi="Arial" w:cs="Arial"/>
          <w:b/>
          <w:i w:val="0"/>
          <w:color w:val="auto"/>
          <w:sz w:val="20"/>
          <w:szCs w:val="20"/>
        </w:rPr>
        <w:t xml:space="preserve">inter-SN </w:t>
      </w:r>
      <w:r>
        <w:rPr>
          <w:rFonts w:ascii="Arial" w:hAnsi="Arial" w:cs="Arial"/>
          <w:b/>
          <w:i w:val="0"/>
          <w:color w:val="auto"/>
          <w:sz w:val="20"/>
          <w:szCs w:val="20"/>
        </w:rPr>
        <w:t xml:space="preserve">CPC based on </w:t>
      </w:r>
      <w:r w:rsidR="0078693B">
        <w:rPr>
          <w:rFonts w:ascii="Arial" w:hAnsi="Arial" w:cs="Arial"/>
          <w:b/>
          <w:i w:val="0"/>
          <w:color w:val="auto"/>
          <w:sz w:val="20"/>
          <w:szCs w:val="20"/>
        </w:rPr>
        <w:t>agreement</w:t>
      </w:r>
      <w:r>
        <w:rPr>
          <w:rFonts w:ascii="Arial" w:hAnsi="Arial" w:cs="Arial"/>
          <w:b/>
          <w:i w:val="0"/>
          <w:color w:val="auto"/>
          <w:sz w:val="20"/>
          <w:szCs w:val="20"/>
        </w:rPr>
        <w:t xml:space="preserve">. </w:t>
      </w:r>
    </w:p>
    <w:p w14:paraId="3C14AAC2" w14:textId="5CB8630F" w:rsidR="0037573D" w:rsidRDefault="0037573D" w:rsidP="0037573D">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w:t>
      </w:r>
      <w:r w:rsidR="00087D86">
        <w:rPr>
          <w:lang w:val="en-US"/>
        </w:rPr>
        <w:t xml:space="preserve">provides </w:t>
      </w:r>
      <w:r>
        <w:rPr>
          <w:lang w:val="en-US"/>
        </w:rPr>
        <w:t>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7FE7A805" w14:textId="77777777" w:rsidR="0037573D" w:rsidRDefault="0037573D" w:rsidP="0037573D">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525B5F5" w14:textId="663FDB60" w:rsidR="0037573D" w:rsidRDefault="0037573D" w:rsidP="0037573D">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 w:name="_Hlk54042133"/>
      <w:r>
        <w:rPr>
          <w:rFonts w:ascii="Times New Roman" w:hAnsi="Times New Roman" w:cs="Times New Roman"/>
          <w:i w:val="0"/>
          <w:color w:val="auto"/>
          <w:sz w:val="20"/>
          <w:szCs w:val="20"/>
        </w:rPr>
        <w:t xml:space="preserve"> The target SN </w:t>
      </w:r>
      <w:r w:rsidR="00087D86">
        <w:rPr>
          <w:rFonts w:ascii="Times New Roman" w:hAnsi="Times New Roman" w:cs="Times New Roman"/>
          <w:i w:val="0"/>
          <w:color w:val="auto"/>
          <w:sz w:val="20"/>
          <w:szCs w:val="20"/>
        </w:rPr>
        <w:t xml:space="preserve">determines the target PSCell and </w:t>
      </w:r>
      <w:r>
        <w:rPr>
          <w:rFonts w:ascii="Times New Roman" w:hAnsi="Times New Roman" w:cs="Times New Roman"/>
          <w:i w:val="0"/>
          <w:color w:val="auto"/>
          <w:sz w:val="20"/>
          <w:szCs w:val="20"/>
        </w:rPr>
        <w:t>generates RRCReconfiguration</w:t>
      </w:r>
      <w:r>
        <w:rPr>
          <w:rFonts w:ascii="Times New Roman" w:hAnsi="Times New Roman" w:cs="Times New Roman"/>
          <w:i w:val="0"/>
          <w:color w:val="auto"/>
          <w:sz w:val="20"/>
          <w:szCs w:val="20"/>
          <w:vertAlign w:val="superscript"/>
        </w:rPr>
        <w:t>**</w:t>
      </w:r>
      <w:r w:rsidR="00087D86">
        <w:rPr>
          <w:rFonts w:ascii="Times New Roman" w:hAnsi="Times New Roman" w:cs="Times New Roman"/>
          <w:i w:val="0"/>
          <w:color w:val="auto"/>
          <w:sz w:val="20"/>
          <w:szCs w:val="20"/>
        </w:rPr>
        <w:t xml:space="preserve"> for the selected</w:t>
      </w:r>
      <w:r>
        <w:rPr>
          <w:rFonts w:ascii="Times New Roman" w:hAnsi="Times New Roman" w:cs="Times New Roman"/>
          <w:i w:val="0"/>
          <w:color w:val="auto"/>
          <w:sz w:val="20"/>
          <w:szCs w:val="20"/>
        </w:rPr>
        <w:t xml:space="preserve"> candidate PSCell and provides it to the MN in SN addition request acknowledgement message. FFS on inclusion of multiple candidate cell configurations.</w:t>
      </w:r>
    </w:p>
    <w:bookmarkEnd w:id="1"/>
    <w:p w14:paraId="42C278CE" w14:textId="77777777" w:rsidR="0037573D" w:rsidRDefault="0037573D" w:rsidP="0037573D">
      <w:pPr>
        <w:rPr>
          <w:bCs/>
          <w:iCs/>
          <w:lang w:val="en-US"/>
        </w:rPr>
      </w:pPr>
      <w:r>
        <w:rPr>
          <w:b/>
          <w:iCs/>
          <w:lang w:val="en-US"/>
        </w:rPr>
        <w:t>Step 4:</w:t>
      </w:r>
      <w:r>
        <w:rPr>
          <w:iCs/>
          <w:lang w:val="en-US"/>
        </w:rPr>
        <w:t xml:space="preserve"> </w:t>
      </w:r>
      <w:bookmarkStart w:id="2" w:name="_Hlk54042636"/>
      <w:r>
        <w:rPr>
          <w:iCs/>
          <w:lang w:val="en-US"/>
        </w:rPr>
        <w:t xml:space="preserve"> </w:t>
      </w:r>
      <w:bookmarkStart w:id="3" w:name="_Hlk54042706"/>
      <w:bookmarkStart w:id="4" w:name="_Hlk54051012"/>
      <w:bookmarkEnd w:id="2"/>
      <w:r>
        <w:rPr>
          <w:lang w:val="en-US"/>
        </w:rPr>
        <w:t>The MN</w:t>
      </w:r>
      <w:bookmarkEnd w:id="3"/>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39A159F7" w14:textId="77777777" w:rsidR="0037573D" w:rsidRDefault="0037573D" w:rsidP="0037573D">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4"/>
    <w:p w14:paraId="3FB2B024" w14:textId="77777777" w:rsidR="0037573D" w:rsidRDefault="0037573D">
      <w:pPr>
        <w:jc w:val="both"/>
        <w:rPr>
          <w:bCs/>
          <w:iCs/>
        </w:rPr>
      </w:pPr>
    </w:p>
    <w:p w14:paraId="768853C2" w14:textId="466B0627" w:rsidR="0078693B" w:rsidRDefault="0078693B">
      <w:pPr>
        <w:jc w:val="both"/>
        <w:rPr>
          <w:bCs/>
          <w:iCs/>
        </w:rPr>
      </w:pPr>
      <w:r>
        <w:rPr>
          <w:bCs/>
          <w:iCs/>
        </w:rPr>
        <w:lastRenderedPageBreak/>
        <w:t xml:space="preserve">The preparation of execution condition for SN initiated Inter-SN CPC was further discussed in </w:t>
      </w:r>
      <w:r w:rsidR="00B6783C">
        <w:rPr>
          <w:bCs/>
          <w:iCs/>
        </w:rPr>
        <w:t xml:space="preserve">the last meeting, </w:t>
      </w:r>
      <w:r>
        <w:rPr>
          <w:bCs/>
          <w:iCs/>
        </w:rPr>
        <w:t xml:space="preserve">RAN2_113-e [R2-2101970]. </w:t>
      </w:r>
      <w:r w:rsidR="00B6783C">
        <w:rPr>
          <w:bCs/>
          <w:iCs/>
        </w:rPr>
        <w:t xml:space="preserve">As shown in Figure 1, the source SN provides the execution condition for the target candidate cells(s). The target SN may not accept all the candidate cells which the </w:t>
      </w:r>
      <w:r w:rsidR="00252E19">
        <w:rPr>
          <w:bCs/>
          <w:iCs/>
        </w:rPr>
        <w:t xml:space="preserve">source SN has provided </w:t>
      </w:r>
      <w:r w:rsidR="00B6783C">
        <w:rPr>
          <w:bCs/>
          <w:iCs/>
        </w:rPr>
        <w:t>execution condition</w:t>
      </w:r>
      <w:r w:rsidR="00252E19">
        <w:rPr>
          <w:bCs/>
          <w:iCs/>
        </w:rPr>
        <w:t>s</w:t>
      </w:r>
      <w:r w:rsidR="00B6783C">
        <w:rPr>
          <w:bCs/>
          <w:iCs/>
        </w:rPr>
        <w:t xml:space="preserve">. The MN generates the conditional reconfiguration (in step 4 of Figure 1) by mapping the execution condition(s) and </w:t>
      </w:r>
      <w:r w:rsidR="00B6783C" w:rsidRPr="00B6783C">
        <w:rPr>
          <w:bCs/>
          <w:iCs/>
        </w:rPr>
        <w:t>an RRCReconfiguration** provided by the target SN for candidate PSCell.</w:t>
      </w:r>
      <w:r w:rsidR="00B6783C">
        <w:rPr>
          <w:bCs/>
          <w:iCs/>
        </w:rPr>
        <w:t xml:space="preserve"> </w:t>
      </w:r>
    </w:p>
    <w:p w14:paraId="0CE65674" w14:textId="4EF76222" w:rsidR="003B0EA7" w:rsidRDefault="00B6783C">
      <w:pPr>
        <w:jc w:val="both"/>
        <w:rPr>
          <w:bCs/>
          <w:iCs/>
        </w:rPr>
      </w:pPr>
      <w:r>
        <w:rPr>
          <w:bCs/>
          <w:iCs/>
        </w:rPr>
        <w:t>An issue was identified during last meeting discussion that the source SN may need to update its configuration depending on the accepted candidate cells by the target SN. The source SN may have configure</w:t>
      </w:r>
      <w:r w:rsidR="00252E19">
        <w:rPr>
          <w:bCs/>
          <w:iCs/>
        </w:rPr>
        <w:t>d</w:t>
      </w:r>
      <w:r>
        <w:rPr>
          <w:bCs/>
          <w:iCs/>
        </w:rPr>
        <w:t xml:space="preserve"> the measurement</w:t>
      </w:r>
      <w:r w:rsidR="00252E19">
        <w:rPr>
          <w:bCs/>
          <w:iCs/>
        </w:rPr>
        <w:t>s</w:t>
      </w:r>
      <w:r>
        <w:rPr>
          <w:bCs/>
          <w:iCs/>
        </w:rPr>
        <w:t xml:space="preserve"> taking i</w:t>
      </w:r>
      <w:r w:rsidR="00252E19">
        <w:rPr>
          <w:bCs/>
          <w:iCs/>
        </w:rPr>
        <w:t>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w:t>
      </w:r>
      <w:r w:rsidR="008C7CCE">
        <w:rPr>
          <w:bCs/>
          <w:iCs/>
        </w:rPr>
        <w:t>s</w:t>
      </w:r>
      <w:r w:rsidR="00252E19">
        <w:rPr>
          <w:bCs/>
          <w:iCs/>
        </w:rPr>
        <w:t xml:space="preserve"> of source SN. </w:t>
      </w:r>
      <w:r w:rsidR="00087D86">
        <w:rPr>
          <w:bCs/>
          <w:iCs/>
        </w:rPr>
        <w:t xml:space="preserve">Whether this is an issue which needed a standardised solution should be discussed. </w:t>
      </w:r>
      <w:r w:rsidR="00252E19">
        <w:rPr>
          <w:bCs/>
          <w:iCs/>
        </w:rPr>
        <w:t>The severity of the issue depends on frequency of this happening</w:t>
      </w:r>
      <w:r w:rsidR="008C7CCE">
        <w:rPr>
          <w:bCs/>
          <w:iCs/>
        </w:rPr>
        <w:t xml:space="preserve">. Also it </w:t>
      </w:r>
      <w:r w:rsidR="003B0EA7">
        <w:rPr>
          <w:bCs/>
          <w:iCs/>
        </w:rPr>
        <w:t>should consider</w:t>
      </w:r>
      <w:r w:rsidR="008C7CCE">
        <w:rPr>
          <w:bCs/>
          <w:iCs/>
        </w:rPr>
        <w:t xml:space="preserve"> the UE behaviour in case there is an unrequired measurement </w:t>
      </w:r>
      <w:r w:rsidR="00087D86">
        <w:rPr>
          <w:bCs/>
          <w:iCs/>
        </w:rPr>
        <w:t>configuration</w:t>
      </w:r>
      <w:r w:rsidR="008C7CCE">
        <w:rPr>
          <w:bCs/>
          <w:iCs/>
        </w:rPr>
        <w:t xml:space="preserve">. </w:t>
      </w:r>
    </w:p>
    <w:p w14:paraId="42990BD2" w14:textId="5B910BAE" w:rsidR="008C7CCE" w:rsidRDefault="003B0EA7">
      <w:pPr>
        <w:jc w:val="both"/>
        <w:rPr>
          <w:bCs/>
          <w:iCs/>
        </w:rPr>
      </w:pPr>
      <w:r>
        <w:rPr>
          <w:bCs/>
          <w:iCs/>
        </w:rPr>
        <w:t>If this issue to be resolved, t</w:t>
      </w:r>
      <w:r w:rsidR="008C7CCE">
        <w:rPr>
          <w:bCs/>
          <w:iCs/>
        </w:rPr>
        <w:t xml:space="preserve">here are two solutions </w:t>
      </w:r>
      <w:r w:rsidR="00087D86">
        <w:rPr>
          <w:bCs/>
          <w:iCs/>
        </w:rPr>
        <w:t>which can be considered</w:t>
      </w:r>
      <w:r w:rsidR="008C7CCE">
        <w:rPr>
          <w:bCs/>
          <w:iCs/>
        </w:rPr>
        <w:t xml:space="preserve">. </w:t>
      </w:r>
    </w:p>
    <w:p w14:paraId="35935808" w14:textId="6F3636D2" w:rsidR="008C7CCE" w:rsidRDefault="008C7CCE">
      <w:pPr>
        <w:jc w:val="both"/>
        <w:rPr>
          <w:bCs/>
          <w:iCs/>
        </w:rPr>
      </w:pPr>
      <w:r w:rsidRPr="000E4CAA">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r w:rsidR="00545496" w:rsidRPr="00545496">
        <w:rPr>
          <w:bCs/>
          <w:iCs/>
        </w:rPr>
        <w:t>The source SN prepares the execution condition for CPC without assistant information from the MN or target SN.</w:t>
      </w:r>
      <w:r w:rsidR="00545496">
        <w:rPr>
          <w:bCs/>
          <w:iCs/>
        </w:rPr>
        <w:t xml:space="preserve"> Signalling flow shown in Figure 1 is applicable for solution 1. </w:t>
      </w:r>
      <w:r>
        <w:rPr>
          <w:bCs/>
          <w:iCs/>
        </w:rPr>
        <w:t xml:space="preserve">The source SN can update </w:t>
      </w:r>
      <w:r w:rsidR="00087D86">
        <w:rPr>
          <w:bCs/>
          <w:iCs/>
        </w:rPr>
        <w:t>its</w:t>
      </w:r>
      <w:r>
        <w:rPr>
          <w:bCs/>
          <w:iCs/>
        </w:rPr>
        <w:t xml:space="preserve"> configuration anytime (business as usual) and update the measurement configuration for the UE</w:t>
      </w:r>
      <w:r w:rsidR="003B0EA7">
        <w:rPr>
          <w:bCs/>
          <w:iCs/>
        </w:rPr>
        <w:t xml:space="preserve"> after step 4</w:t>
      </w:r>
      <w:r w:rsidR="00545496">
        <w:rPr>
          <w:bCs/>
          <w:iCs/>
        </w:rPr>
        <w:t>, if required</w:t>
      </w:r>
      <w:r>
        <w:rPr>
          <w:bCs/>
          <w:iCs/>
        </w:rPr>
        <w:t>.</w:t>
      </w:r>
      <w:r w:rsidR="00545496">
        <w:rPr>
          <w:bCs/>
          <w:iCs/>
        </w:rPr>
        <w:t xml:space="preserve"> </w:t>
      </w:r>
    </w:p>
    <w:p w14:paraId="5E4C5FA9" w14:textId="3A1B58D8" w:rsidR="00545496" w:rsidRDefault="00087D86">
      <w:pPr>
        <w:jc w:val="both"/>
        <w:rPr>
          <w:bCs/>
          <w:iCs/>
        </w:rPr>
      </w:pPr>
      <w:r w:rsidRPr="000E4CAA">
        <w:rPr>
          <w:b/>
          <w:bCs/>
          <w:iCs/>
        </w:rPr>
        <w:t>Solution 2:</w:t>
      </w:r>
      <w:r>
        <w:rPr>
          <w:bCs/>
          <w:iCs/>
        </w:rPr>
        <w:t xml:space="preserve"> T</w:t>
      </w:r>
      <w:r w:rsidR="00545496">
        <w:rPr>
          <w:bCs/>
          <w:iCs/>
        </w:rPr>
        <w: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w:t>
      </w:r>
      <w:r>
        <w:rPr>
          <w:bCs/>
          <w:iCs/>
        </w:rPr>
        <w:t>s</w:t>
      </w:r>
      <w:r w:rsidR="00545496">
        <w:rPr>
          <w:bCs/>
          <w:iCs/>
        </w:rPr>
        <w:t xml:space="preserve"> it to the MN. </w:t>
      </w:r>
      <w:r w:rsidR="00545496" w:rsidRPr="00545496">
        <w:rPr>
          <w:bCs/>
          <w:iCs/>
          <w:u w:val="single"/>
        </w:rPr>
        <w:t xml:space="preserve">The MN generates the conditional reconfiguration </w:t>
      </w:r>
      <w:r w:rsidR="003B0EA7">
        <w:rPr>
          <w:bCs/>
          <w:iCs/>
          <w:u w:val="single"/>
        </w:rPr>
        <w:t xml:space="preserve">for CPC </w:t>
      </w:r>
      <w:r w:rsidR="00545496" w:rsidRPr="00545496">
        <w:rPr>
          <w:bCs/>
          <w:iCs/>
          <w:u w:val="single"/>
        </w:rPr>
        <w:t>in the same way as in solution 1.</w:t>
      </w:r>
      <w:r w:rsidR="00545496">
        <w:rPr>
          <w:bCs/>
          <w:iCs/>
        </w:rPr>
        <w:t xml:space="preserve"> The MN generates the final RRC Reconfiguration message to the UE including the conditional reconfiguration for CPC, MN configuration</w:t>
      </w:r>
      <w:r w:rsidR="00913671">
        <w:rPr>
          <w:bCs/>
          <w:iCs/>
        </w:rPr>
        <w:t>, if required</w:t>
      </w:r>
      <w:r w:rsidR="00545496">
        <w:rPr>
          <w:bCs/>
          <w:iCs/>
        </w:rPr>
        <w:t xml:space="preserve"> and </w:t>
      </w:r>
      <w:r w:rsidR="00545496" w:rsidRPr="003B0EA7">
        <w:rPr>
          <w:bCs/>
          <w:iCs/>
          <w:u w:val="single"/>
        </w:rPr>
        <w:t>the updated source SN configuration</w:t>
      </w:r>
      <w:r w:rsidR="00545496">
        <w:rPr>
          <w:bCs/>
          <w:iCs/>
        </w:rPr>
        <w:t xml:space="preserve">. Figure 2 illustrates the signalling flow for solution 2. </w:t>
      </w:r>
    </w:p>
    <w:commentRangeStart w:id="5"/>
    <w:p w14:paraId="596A063C" w14:textId="2751715E" w:rsidR="00913671" w:rsidRDefault="00913671">
      <w:pPr>
        <w:jc w:val="both"/>
        <w:rPr>
          <w:bCs/>
          <w:iCs/>
        </w:rPr>
      </w:pPr>
      <w:r>
        <w:object w:dxaOrig="10930" w:dyaOrig="8396" w14:anchorId="537E1751">
          <v:shape id="_x0000_i1026" type="#_x0000_t75" style="width:482.25pt;height:370.5pt" o:ole="">
            <v:imagedata r:id="rId18" o:title=""/>
          </v:shape>
          <o:OLEObject Type="Embed" ProgID="Visio.Drawing.11" ShapeID="_x0000_i1026" DrawAspect="Content" ObjectID="_1675853349" r:id="rId19"/>
        </w:object>
      </w:r>
      <w:commentRangeEnd w:id="5"/>
      <w:r w:rsidR="000A74EC">
        <w:rPr>
          <w:rStyle w:val="CommentReference"/>
        </w:rPr>
        <w:commentReference w:id="5"/>
      </w:r>
    </w:p>
    <w:p w14:paraId="48C838CE" w14:textId="77777777" w:rsidR="00545496" w:rsidRDefault="00545496" w:rsidP="00545496">
      <w:pPr>
        <w:spacing w:line="256" w:lineRule="auto"/>
        <w:jc w:val="both"/>
        <w:rPr>
          <w:rFonts w:eastAsia="Helvetica"/>
          <w:b/>
          <w:lang w:val="en-US"/>
        </w:rPr>
      </w:pPr>
      <w:bookmarkStart w:id="6" w:name="_GoBack"/>
      <w:bookmarkEnd w:id="6"/>
    </w:p>
    <w:p w14:paraId="44380895" w14:textId="68A208DA" w:rsidR="00545496" w:rsidRDefault="00545496" w:rsidP="00545496">
      <w:pPr>
        <w:pStyle w:val="Caption"/>
        <w:jc w:val="center"/>
        <w:rPr>
          <w:rFonts w:ascii="Arial" w:hAnsi="Arial" w:cs="Arial"/>
          <w:b/>
          <w:i w:val="0"/>
          <w:color w:val="auto"/>
          <w:sz w:val="20"/>
          <w:szCs w:val="20"/>
        </w:rPr>
      </w:pPr>
      <w:r>
        <w:rPr>
          <w:rFonts w:ascii="Arial" w:hAnsi="Arial" w:cs="Arial"/>
          <w:b/>
          <w:i w:val="0"/>
          <w:color w:val="auto"/>
          <w:sz w:val="20"/>
          <w:szCs w:val="20"/>
        </w:rPr>
        <w:t>Figure 2:</w:t>
      </w:r>
      <w:r w:rsidR="00913671">
        <w:rPr>
          <w:rFonts w:ascii="Arial" w:hAnsi="Arial" w:cs="Arial"/>
          <w:b/>
          <w:i w:val="0"/>
          <w:color w:val="auto"/>
          <w:sz w:val="20"/>
          <w:szCs w:val="20"/>
        </w:rPr>
        <w:t xml:space="preserve"> the</w:t>
      </w:r>
      <w:r>
        <w:rPr>
          <w:rFonts w:ascii="Arial" w:hAnsi="Arial" w:cs="Arial"/>
          <w:b/>
          <w:i w:val="0"/>
          <w:color w:val="auto"/>
          <w:sz w:val="20"/>
          <w:szCs w:val="20"/>
        </w:rPr>
        <w:t xml:space="preserve"> </w:t>
      </w:r>
      <w:r w:rsidR="008108FD">
        <w:rPr>
          <w:rFonts w:ascii="Arial" w:hAnsi="Arial" w:cs="Arial"/>
          <w:b/>
          <w:i w:val="0"/>
          <w:color w:val="auto"/>
          <w:sz w:val="20"/>
          <w:szCs w:val="20"/>
        </w:rPr>
        <w:t>procedure update required for solution 2</w:t>
      </w:r>
      <w:r>
        <w:rPr>
          <w:rFonts w:ascii="Arial" w:hAnsi="Arial" w:cs="Arial"/>
          <w:b/>
          <w:i w:val="0"/>
          <w:color w:val="auto"/>
          <w:sz w:val="20"/>
          <w:szCs w:val="20"/>
        </w:rPr>
        <w:t xml:space="preserve">. </w:t>
      </w:r>
    </w:p>
    <w:p w14:paraId="4A05A7B8" w14:textId="77777777" w:rsidR="00545496" w:rsidRDefault="00545496">
      <w:pPr>
        <w:jc w:val="both"/>
        <w:rPr>
          <w:bCs/>
          <w:iCs/>
        </w:rPr>
      </w:pPr>
    </w:p>
    <w:p w14:paraId="278131C1" w14:textId="256F1330" w:rsidR="008C7CCE" w:rsidRDefault="000E4CAA">
      <w:pPr>
        <w:jc w:val="both"/>
        <w:rPr>
          <w:bCs/>
          <w:iCs/>
        </w:rPr>
      </w:pPr>
      <w:r>
        <w:rPr>
          <w:bCs/>
          <w:iCs/>
        </w:rPr>
        <w:t xml:space="preserve">In Phase 1, rapporteur would like to form a common understanding of the procedure for SN initiated Inter-SN CPC and identify any issue which should be resolved. In order to form an interactive </w:t>
      </w:r>
      <w:r w:rsidR="003C277B">
        <w:rPr>
          <w:bCs/>
          <w:iCs/>
        </w:rPr>
        <w:t xml:space="preserve">technical </w:t>
      </w:r>
      <w:r>
        <w:rPr>
          <w:bCs/>
          <w:iCs/>
        </w:rPr>
        <w:t xml:space="preserve">discussion (e.g. </w:t>
      </w:r>
      <w:r w:rsidR="00AF7126">
        <w:rPr>
          <w:bCs/>
          <w:iCs/>
        </w:rPr>
        <w:t xml:space="preserve">similar </w:t>
      </w:r>
      <w:r>
        <w:rPr>
          <w:bCs/>
          <w:iCs/>
        </w:rPr>
        <w:t>to face-to-face offline discussions), rapporteur welcome</w:t>
      </w:r>
      <w:r w:rsidR="003C277B">
        <w:rPr>
          <w:bCs/>
          <w:iCs/>
        </w:rPr>
        <w:t>s</w:t>
      </w:r>
      <w:r>
        <w:rPr>
          <w:bCs/>
          <w:iCs/>
        </w:rPr>
        <w:t xml:space="preserve"> the company opinions on the procedure, the identified issue</w:t>
      </w:r>
      <w:r w:rsidR="003C277B">
        <w:rPr>
          <w:bCs/>
          <w:iCs/>
        </w:rPr>
        <w:t>s</w:t>
      </w:r>
      <w:r>
        <w:rPr>
          <w:bCs/>
          <w:iCs/>
        </w:rPr>
        <w:t xml:space="preserve"> and solutions in open/ flexible format. The company comments can be included in the below table and reply to a comment/question raised by another company can also be included. </w:t>
      </w:r>
      <w:r w:rsidR="003C277B">
        <w:rPr>
          <w:bCs/>
          <w:iCs/>
        </w:rPr>
        <w:t xml:space="preserve"> At the end of Phase 1, rapporteur aims to provide a list of identified issues. </w:t>
      </w:r>
    </w:p>
    <w:p w14:paraId="659CFAFF" w14:textId="078127BA" w:rsidR="00D5074B" w:rsidRDefault="00D5074B">
      <w:pPr>
        <w:rPr>
          <w:b/>
          <w:iCs/>
        </w:rPr>
      </w:pPr>
    </w:p>
    <w:tbl>
      <w:tblPr>
        <w:tblStyle w:val="TableGrid"/>
        <w:tblW w:w="9630" w:type="dxa"/>
        <w:tblLayout w:type="fixed"/>
        <w:tblLook w:val="04A0" w:firstRow="1" w:lastRow="0" w:firstColumn="1" w:lastColumn="0" w:noHBand="0" w:noVBand="1"/>
      </w:tblPr>
      <w:tblGrid>
        <w:gridCol w:w="1555"/>
        <w:gridCol w:w="8075"/>
      </w:tblGrid>
      <w:tr w:rsidR="000E4CAA" w14:paraId="659CFB03" w14:textId="77777777" w:rsidTr="007A11B3">
        <w:tc>
          <w:tcPr>
            <w:tcW w:w="1555" w:type="dxa"/>
            <w:tcBorders>
              <w:top w:val="single" w:sz="4" w:space="0" w:color="auto"/>
              <w:left w:val="single" w:sz="4" w:space="0" w:color="auto"/>
              <w:bottom w:val="single" w:sz="4" w:space="0" w:color="auto"/>
              <w:right w:val="single" w:sz="4" w:space="0" w:color="auto"/>
            </w:tcBorders>
          </w:tcPr>
          <w:p w14:paraId="659CFB00" w14:textId="25D25DD5" w:rsidR="000E4CAA" w:rsidRDefault="000E4CAA" w:rsidP="000E4CAA">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59CFB02" w14:textId="64F1E178" w:rsidR="000E4CAA" w:rsidRDefault="000E4CAA">
            <w:pPr>
              <w:spacing w:line="256" w:lineRule="auto"/>
              <w:rPr>
                <w:rFonts w:eastAsia="Helvetica"/>
                <w:b/>
                <w:lang w:val="en-US"/>
              </w:rPr>
            </w:pPr>
            <w:r>
              <w:rPr>
                <w:rFonts w:eastAsia="Helvetica"/>
                <w:b/>
                <w:lang w:val="en-US"/>
              </w:rPr>
              <w:t>Company comment</w:t>
            </w:r>
          </w:p>
        </w:tc>
      </w:tr>
      <w:tr w:rsidR="000E4CAA" w14:paraId="6BABC29F" w14:textId="77777777" w:rsidTr="007A11B3">
        <w:tc>
          <w:tcPr>
            <w:tcW w:w="1555" w:type="dxa"/>
            <w:tcBorders>
              <w:top w:val="single" w:sz="4" w:space="0" w:color="auto"/>
              <w:left w:val="single" w:sz="4" w:space="0" w:color="auto"/>
              <w:bottom w:val="single" w:sz="4" w:space="0" w:color="auto"/>
              <w:right w:val="single" w:sz="4" w:space="0" w:color="auto"/>
            </w:tcBorders>
          </w:tcPr>
          <w:p w14:paraId="4DD42D4E" w14:textId="6DB5F6F4" w:rsidR="000E4CAA" w:rsidRPr="000A74EC" w:rsidRDefault="009D0BAE" w:rsidP="000E4CAA">
            <w:pPr>
              <w:spacing w:line="256" w:lineRule="auto"/>
              <w:rPr>
                <w:rFonts w:eastAsia="Helvetica"/>
                <w:lang w:val="en-US"/>
              </w:rPr>
            </w:pPr>
            <w:r w:rsidRPr="000A74EC">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17EB2170" w14:textId="1BBBE278" w:rsidR="000E4CAA" w:rsidRPr="000A74EC" w:rsidRDefault="00D507F9">
            <w:pPr>
              <w:spacing w:line="256" w:lineRule="auto"/>
              <w:rPr>
                <w:rFonts w:eastAsia="Helvetica"/>
                <w:lang w:val="en-US"/>
              </w:rPr>
            </w:pPr>
            <w:r w:rsidRPr="000A74EC">
              <w:rPr>
                <w:rFonts w:eastAsia="Helvetica"/>
                <w:b/>
                <w:lang w:val="en-US"/>
              </w:rPr>
              <w:t>Ericsson</w:t>
            </w:r>
            <w:r w:rsidRPr="000A74EC">
              <w:rPr>
                <w:rFonts w:eastAsia="Helvetica"/>
                <w:lang w:val="en-US"/>
              </w:rPr>
              <w:t xml:space="preserve">: </w:t>
            </w:r>
            <w:r w:rsidR="009D0BAE" w:rsidRPr="000A74EC">
              <w:rPr>
                <w:rFonts w:eastAsia="Helvetica"/>
                <w:lang w:val="en-US"/>
              </w:rPr>
              <w:t xml:space="preserve">In Solution 1 the UE may end up configured with measId(s) in SCG MeasConfig associated to PSCell(s) not selected by a target candidate gNodeB i.e. they would not be in the CPC configuration. </w:t>
            </w:r>
            <w:r w:rsidR="000A74EC">
              <w:rPr>
                <w:rFonts w:eastAsia="Helvetica"/>
                <w:lang w:val="en-US"/>
              </w:rPr>
              <w:t xml:space="preserve">Maybe this is not </w:t>
            </w:r>
            <w:r w:rsidR="009D0BAE" w:rsidRPr="000A74EC">
              <w:rPr>
                <w:rFonts w:eastAsia="Helvetica"/>
                <w:lang w:val="en-US"/>
              </w:rPr>
              <w:t>a major issue, we can simply define that the UE ignores these measId(s) and not be required to perform measurements accordingly</w:t>
            </w:r>
            <w:r w:rsidR="000A74EC">
              <w:rPr>
                <w:rFonts w:eastAsia="Helvetica"/>
                <w:lang w:val="en-US"/>
              </w:rPr>
              <w:t xml:space="preserve"> as they are not in CPC and as they are anyway deleted upon suspend/release and successful execution.</w:t>
            </w:r>
          </w:p>
          <w:p w14:paraId="5FDAE5B9" w14:textId="25F82B3B" w:rsidR="00D507F9" w:rsidRPr="000A74EC" w:rsidRDefault="00D507F9">
            <w:pPr>
              <w:spacing w:line="256" w:lineRule="auto"/>
              <w:rPr>
                <w:rFonts w:eastAsia="Helvetica"/>
                <w:lang w:val="en-US"/>
              </w:rPr>
            </w:pPr>
            <w:r w:rsidRPr="000A74EC">
              <w:rPr>
                <w:rFonts w:eastAsia="Helvetica"/>
                <w:lang w:val="en-US"/>
              </w:rPr>
              <w:t>In Solution 2 this would not be a problem, as the UE only receives measId(s) in SCG MeasConfig that matches what the target candidate gNodeB(s) have selected.</w:t>
            </w:r>
            <w:r w:rsidR="000A74EC">
              <w:rPr>
                <w:rFonts w:eastAsia="Helvetica"/>
                <w:lang w:val="en-US"/>
              </w:rPr>
              <w:t xml:space="preserve"> This makes solution 2 slightly better in that perspective, with the cost of an additional network procedure.</w:t>
            </w:r>
          </w:p>
        </w:tc>
      </w:tr>
      <w:tr w:rsidR="00D507F9" w14:paraId="726FB88E" w14:textId="77777777" w:rsidTr="007A11B3">
        <w:tc>
          <w:tcPr>
            <w:tcW w:w="1555" w:type="dxa"/>
            <w:tcBorders>
              <w:top w:val="single" w:sz="4" w:space="0" w:color="auto"/>
              <w:left w:val="single" w:sz="4" w:space="0" w:color="auto"/>
              <w:bottom w:val="single" w:sz="4" w:space="0" w:color="auto"/>
              <w:right w:val="single" w:sz="4" w:space="0" w:color="auto"/>
            </w:tcBorders>
          </w:tcPr>
          <w:p w14:paraId="35F0DD71" w14:textId="7A026E91" w:rsidR="00D507F9" w:rsidRPr="000A74EC" w:rsidRDefault="00D507F9" w:rsidP="000E4CAA">
            <w:pPr>
              <w:spacing w:line="256" w:lineRule="auto"/>
              <w:rPr>
                <w:rFonts w:eastAsia="Helvetica"/>
                <w:lang w:val="en-US"/>
              </w:rPr>
            </w:pPr>
            <w:r w:rsidRPr="000A74EC">
              <w:rPr>
                <w:rFonts w:eastAsia="Helvetica"/>
                <w:lang w:val="en-US"/>
              </w:rPr>
              <w:t xml:space="preserve">Measurement gap </w:t>
            </w:r>
            <w:r w:rsidRPr="000A74EC">
              <w:rPr>
                <w:rFonts w:eastAsia="Helvetica"/>
                <w:lang w:val="en-US"/>
              </w:rPr>
              <w:lastRenderedPageBreak/>
              <w:t>configuration outdated</w:t>
            </w:r>
          </w:p>
        </w:tc>
        <w:tc>
          <w:tcPr>
            <w:tcW w:w="8075" w:type="dxa"/>
            <w:tcBorders>
              <w:top w:val="single" w:sz="4" w:space="0" w:color="auto"/>
              <w:left w:val="single" w:sz="4" w:space="0" w:color="auto"/>
              <w:bottom w:val="single" w:sz="4" w:space="0" w:color="auto"/>
              <w:right w:val="single" w:sz="4" w:space="0" w:color="auto"/>
            </w:tcBorders>
          </w:tcPr>
          <w:p w14:paraId="56AE45B4" w14:textId="42A7D652" w:rsidR="00D507F9" w:rsidRPr="000A74EC" w:rsidRDefault="00D507F9">
            <w:pPr>
              <w:spacing w:line="256" w:lineRule="auto"/>
              <w:rPr>
                <w:rFonts w:eastAsia="Helvetica"/>
                <w:lang w:val="en-US"/>
              </w:rPr>
            </w:pPr>
            <w:r w:rsidRPr="000A74EC">
              <w:rPr>
                <w:rFonts w:eastAsia="Helvetica"/>
                <w:b/>
                <w:lang w:val="en-US"/>
              </w:rPr>
              <w:lastRenderedPageBreak/>
              <w:t>Ericsson</w:t>
            </w:r>
            <w:r w:rsidRPr="000A74EC">
              <w:rPr>
                <w:rFonts w:eastAsia="Helvetica"/>
                <w:lang w:val="en-US"/>
              </w:rPr>
              <w:t xml:space="preserve">: In solution 2 this is not an issue as the MN receives the indication of the accepted frequencies / cells from target candidate gNodeBs and knows which measId(s) per frequency/cell </w:t>
            </w:r>
            <w:r w:rsidRPr="000A74EC">
              <w:rPr>
                <w:rFonts w:eastAsia="Helvetica"/>
                <w:lang w:val="en-US"/>
              </w:rPr>
              <w:lastRenderedPageBreak/>
              <w:t>to configure the UE with in SCG MeasConfig, and the required measurement gaps. We could check with RAN3 if they think Solution 2 brings issues in terms of latency and signaling.</w:t>
            </w:r>
          </w:p>
          <w:p w14:paraId="73E9BAE8" w14:textId="77777777" w:rsidR="00D507F9" w:rsidRPr="000A74EC" w:rsidRDefault="00D507F9" w:rsidP="00D507F9">
            <w:pPr>
              <w:spacing w:line="256" w:lineRule="auto"/>
              <w:rPr>
                <w:rFonts w:eastAsia="Helvetica"/>
                <w:lang w:val="en-US"/>
              </w:rPr>
            </w:pPr>
            <w:r w:rsidRPr="000A74EC">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75E807D" w14:textId="3CB68BC3" w:rsidR="000A74EC" w:rsidRDefault="00D507F9" w:rsidP="00D507F9">
            <w:pPr>
              <w:spacing w:line="256" w:lineRule="auto"/>
              <w:rPr>
                <w:rFonts w:eastAsia="Helvetica"/>
                <w:lang w:val="en-US"/>
              </w:rPr>
            </w:pPr>
            <w:r w:rsidRPr="000A74EC">
              <w:rPr>
                <w:rFonts w:eastAsia="Helvetica"/>
                <w:lang w:val="en-US"/>
              </w:rPr>
              <w:t xml:space="preserve">In a way, </w:t>
            </w:r>
            <w:r w:rsidR="000A74EC">
              <w:rPr>
                <w:rFonts w:eastAsia="Helvetica"/>
                <w:lang w:val="en-US"/>
              </w:rPr>
              <w:t xml:space="preserve">it is quite bad that </w:t>
            </w:r>
            <w:r w:rsidRPr="000A74EC">
              <w:rPr>
                <w:rFonts w:eastAsia="Helvetica"/>
                <w:lang w:val="en-US"/>
              </w:rPr>
              <w:t>solution 1</w:t>
            </w:r>
            <w:r w:rsidR="000A74EC">
              <w:rPr>
                <w:rFonts w:eastAsia="Helvetica"/>
                <w:lang w:val="en-US"/>
              </w:rPr>
              <w:t xml:space="preserve"> leads to </w:t>
            </w:r>
            <w:r w:rsidRPr="000A74EC">
              <w:rPr>
                <w:rFonts w:eastAsia="Helvetica"/>
                <w:lang w:val="en-US"/>
              </w:rPr>
              <w:t>the UE to be configured with a wrong configuration to then immediately be re-configured.</w:t>
            </w:r>
            <w:r w:rsidR="000A74EC">
              <w:rPr>
                <w:rFonts w:eastAsia="Helvetica"/>
                <w:lang w:val="en-US"/>
              </w:rPr>
              <w:t xml:space="preserve"> It is not easy to foresee how often this will happen.</w:t>
            </w:r>
          </w:p>
          <w:p w14:paraId="2009D591" w14:textId="11EBC387" w:rsidR="00D507F9" w:rsidRPr="000A74EC" w:rsidRDefault="00D507F9" w:rsidP="00D507F9">
            <w:pPr>
              <w:spacing w:line="256" w:lineRule="auto"/>
              <w:rPr>
                <w:rFonts w:eastAsia="Helvetica"/>
                <w:lang w:val="en-US"/>
              </w:rPr>
            </w:pPr>
            <w:r w:rsidRPr="000A74EC">
              <w:rPr>
                <w:rFonts w:eastAsia="Helvetica"/>
                <w:lang w:val="en-US"/>
              </w:rPr>
              <w:t>So, if companies insist to have a single network procedure, like in Solution 1, something in between is anyway needed e.g. MN sends the update to S-SN from T-SN about accepted target candidates</w:t>
            </w:r>
            <w:r w:rsidR="000A74EC">
              <w:rPr>
                <w:rFonts w:eastAsia="Helvetica"/>
                <w:lang w:val="en-US"/>
              </w:rPr>
              <w:t xml:space="preserve"> (cells/frequency)</w:t>
            </w:r>
            <w:r w:rsidRPr="000A74EC">
              <w:rPr>
                <w:rFonts w:eastAsia="Helvetica"/>
                <w:lang w:val="en-US"/>
              </w:rPr>
              <w:t xml:space="preserve"> and waits before configuring </w:t>
            </w:r>
            <w:r w:rsidR="000A74EC">
              <w:rPr>
                <w:rFonts w:eastAsia="Helvetica"/>
                <w:lang w:val="en-US"/>
              </w:rPr>
              <w:t>the UE, at least for some time, to avoid the unnecessary double RRC procedures.</w:t>
            </w:r>
          </w:p>
          <w:p w14:paraId="746C1BB4" w14:textId="2545844B" w:rsidR="00D507F9" w:rsidRPr="000A74EC" w:rsidRDefault="00D507F9">
            <w:pPr>
              <w:spacing w:line="256" w:lineRule="auto"/>
              <w:rPr>
                <w:rFonts w:eastAsia="Helvetica"/>
                <w:lang w:val="en-US"/>
              </w:rPr>
            </w:pPr>
          </w:p>
        </w:tc>
      </w:tr>
    </w:tbl>
    <w:p w14:paraId="12668CA6" w14:textId="77777777" w:rsidR="000E4CAA" w:rsidRDefault="000E4CAA" w:rsidP="00484519">
      <w:pPr>
        <w:rPr>
          <w:iCs/>
        </w:rPr>
      </w:pPr>
    </w:p>
    <w:p w14:paraId="032E6EBC" w14:textId="77777777" w:rsidR="000E4CAA" w:rsidRDefault="000E4CAA" w:rsidP="00484519">
      <w:pPr>
        <w:rPr>
          <w:iCs/>
        </w:rPr>
      </w:pPr>
    </w:p>
    <w:p w14:paraId="275ADF24" w14:textId="77777777" w:rsidR="000E4CAA" w:rsidRDefault="000E4CAA" w:rsidP="00484519">
      <w:pPr>
        <w:rPr>
          <w:iCs/>
        </w:rPr>
      </w:pPr>
    </w:p>
    <w:p w14:paraId="05DF71B5" w14:textId="10B6425F" w:rsidR="00484519" w:rsidRDefault="00484519" w:rsidP="00484519">
      <w:pPr>
        <w:rPr>
          <w:iCs/>
        </w:rPr>
      </w:pPr>
      <w:r w:rsidRPr="009D2486">
        <w:rPr>
          <w:iCs/>
        </w:rPr>
        <w:t xml:space="preserve">Summary of </w:t>
      </w:r>
      <w:r w:rsidR="003C277B">
        <w:rPr>
          <w:iCs/>
        </w:rPr>
        <w:t>Phase 1</w:t>
      </w:r>
      <w:r w:rsidRPr="009D2486">
        <w:rPr>
          <w:iCs/>
        </w:rPr>
        <w:t xml:space="preserve">: </w:t>
      </w:r>
      <w:r w:rsidR="00D62D2D">
        <w:rPr>
          <w:iCs/>
        </w:rPr>
        <w:t>[TBC]</w:t>
      </w:r>
    </w:p>
    <w:p w14:paraId="42A00A41" w14:textId="77777777" w:rsidR="00D62D2D" w:rsidRPr="009D2486" w:rsidRDefault="00D62D2D" w:rsidP="00484519">
      <w:pPr>
        <w:rPr>
          <w:iCs/>
        </w:rPr>
      </w:pPr>
    </w:p>
    <w:p w14:paraId="659CFB6E" w14:textId="5A59D15F" w:rsidR="00D5074B" w:rsidRDefault="00A562D5">
      <w:pPr>
        <w:rPr>
          <w:b/>
          <w:sz w:val="28"/>
          <w:szCs w:val="28"/>
        </w:rPr>
      </w:pPr>
      <w:r>
        <w:rPr>
          <w:b/>
          <w:sz w:val="28"/>
          <w:szCs w:val="28"/>
        </w:rPr>
        <w:t xml:space="preserve">2.2 </w:t>
      </w:r>
      <w:r w:rsidR="003C277B">
        <w:rPr>
          <w:b/>
          <w:sz w:val="28"/>
          <w:szCs w:val="28"/>
        </w:rPr>
        <w:t>Phase 2 discussion</w:t>
      </w:r>
    </w:p>
    <w:p w14:paraId="659CFDB8" w14:textId="77777777" w:rsidR="00D5074B" w:rsidRDefault="00D5074B"/>
    <w:p w14:paraId="659CFDB9" w14:textId="77777777" w:rsidR="00D5074B" w:rsidRDefault="00A562D5">
      <w:pPr>
        <w:pStyle w:val="Heading1"/>
      </w:pPr>
      <w:r>
        <w:t>5</w:t>
      </w:r>
      <w:r>
        <w:tab/>
        <w:t>Conclusion</w:t>
      </w:r>
    </w:p>
    <w:p w14:paraId="2E01A49F" w14:textId="77777777" w:rsidR="00342FC8" w:rsidRDefault="00342FC8"/>
    <w:p w14:paraId="659CFDBB" w14:textId="77777777" w:rsidR="00D5074B" w:rsidRDefault="00A562D5">
      <w:pPr>
        <w:pStyle w:val="Heading1"/>
      </w:pPr>
      <w:r>
        <w:t>6</w:t>
      </w:r>
      <w:r>
        <w:tab/>
        <w:t>Reference</w:t>
      </w:r>
    </w:p>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sson" w:date="2021-02-26T10:58:00Z" w:initials="Ericsson">
    <w:p w14:paraId="5991B2B4" w14:textId="7565957D" w:rsidR="000A74EC" w:rsidRDefault="000A74EC">
      <w:pPr>
        <w:pStyle w:val="CommentText"/>
      </w:pPr>
      <w:r>
        <w:rPr>
          <w:rStyle w:val="CommentReference"/>
        </w:rPr>
        <w:annotationRef/>
      </w:r>
      <w:r>
        <w:t>This is missing the SN Change Confirm, which may include information about the selected cells / frequencies by T-SN.</w:t>
      </w:r>
    </w:p>
  </w:comment>
  <w:comment w:id="5" w:author="Ericsson" w:date="2021-02-26T10:58:00Z" w:initials="Ericsson">
    <w:p w14:paraId="09D55ACA" w14:textId="2132D4A5" w:rsidR="000A74EC" w:rsidRDefault="000A74EC">
      <w:pPr>
        <w:pStyle w:val="CommentText"/>
      </w:pPr>
      <w:r>
        <w:rPr>
          <w:rStyle w:val="CommentReference"/>
        </w:rPr>
        <w:annotationRef/>
      </w:r>
      <w:r>
        <w:t xml:space="preserve">This message  4 is also required in solution 1 (SN Change Confirm). And, 5 could be simply an SN modification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1B2B4" w15:done="0"/>
  <w15:commentEx w15:paraId="09D55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1B2B4" w16cid:durableId="23E352CE"/>
  <w16cid:commentId w16cid:paraId="09D55ACA" w16cid:durableId="23E35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158A" w14:textId="77777777" w:rsidR="00970B98" w:rsidRDefault="00970B98" w:rsidP="00484BD4">
      <w:pPr>
        <w:spacing w:after="0" w:line="240" w:lineRule="auto"/>
      </w:pPr>
      <w:r>
        <w:separator/>
      </w:r>
    </w:p>
  </w:endnote>
  <w:endnote w:type="continuationSeparator" w:id="0">
    <w:p w14:paraId="09AF10D7" w14:textId="77777777" w:rsidR="00970B98" w:rsidRDefault="00970B98"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36CD" w14:textId="77777777" w:rsidR="00970B98" w:rsidRDefault="00970B98" w:rsidP="00484BD4">
      <w:pPr>
        <w:spacing w:after="0" w:line="240" w:lineRule="auto"/>
      </w:pPr>
      <w:r>
        <w:separator/>
      </w:r>
    </w:p>
  </w:footnote>
  <w:footnote w:type="continuationSeparator" w:id="0">
    <w:p w14:paraId="16FAC28C" w14:textId="77777777" w:rsidR="00970B98" w:rsidRDefault="00970B98"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D7543CA"/>
    <w:multiLevelType w:val="hybridMultilevel"/>
    <w:tmpl w:val="578E50E6"/>
    <w:lvl w:ilvl="0" w:tplc="85160FD2">
      <w:start w:val="2021"/>
      <w:numFmt w:val="bullet"/>
      <w:lvlText w:val="-"/>
      <w:lvlJc w:val="left"/>
      <w:pPr>
        <w:ind w:left="720" w:hanging="360"/>
      </w:pPr>
      <w:rPr>
        <w:rFonts w:ascii="Times New Roman" w:eastAsia="Helvetic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6"/>
  </w:num>
  <w:num w:numId="8">
    <w:abstractNumId w:val="13"/>
  </w:num>
  <w:num w:numId="9">
    <w:abstractNumId w:val="4"/>
  </w:num>
  <w:num w:numId="10">
    <w:abstractNumId w:val="7"/>
  </w:num>
  <w:num w:numId="11">
    <w:abstractNumId w:val="10"/>
  </w:num>
  <w:num w:numId="12">
    <w:abstractNumId w:val="3"/>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5A08"/>
    <w:rsid w:val="00016557"/>
    <w:rsid w:val="00017C06"/>
    <w:rsid w:val="00021AE3"/>
    <w:rsid w:val="00023C40"/>
    <w:rsid w:val="0002446F"/>
    <w:rsid w:val="00032EF3"/>
    <w:rsid w:val="00033397"/>
    <w:rsid w:val="0003557F"/>
    <w:rsid w:val="00040095"/>
    <w:rsid w:val="0004557A"/>
    <w:rsid w:val="00051298"/>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766"/>
    <w:rsid w:val="00244A05"/>
    <w:rsid w:val="00250404"/>
    <w:rsid w:val="00252E19"/>
    <w:rsid w:val="00253FFA"/>
    <w:rsid w:val="00254A54"/>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6A63"/>
    <w:rsid w:val="005A6C0A"/>
    <w:rsid w:val="005B4ABB"/>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C89"/>
    <w:rsid w:val="0086685A"/>
    <w:rsid w:val="008724D1"/>
    <w:rsid w:val="008768CA"/>
    <w:rsid w:val="00876F98"/>
    <w:rsid w:val="00877EF9"/>
    <w:rsid w:val="00880559"/>
    <w:rsid w:val="00882F68"/>
    <w:rsid w:val="00883062"/>
    <w:rsid w:val="0089644E"/>
    <w:rsid w:val="008A7554"/>
    <w:rsid w:val="008B5306"/>
    <w:rsid w:val="008C1572"/>
    <w:rsid w:val="008C2E2A"/>
    <w:rsid w:val="008C3057"/>
    <w:rsid w:val="008C4E67"/>
    <w:rsid w:val="008C58A8"/>
    <w:rsid w:val="008C764E"/>
    <w:rsid w:val="008C7CCE"/>
    <w:rsid w:val="008D242C"/>
    <w:rsid w:val="008D2AC3"/>
    <w:rsid w:val="008D2E4D"/>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67C"/>
    <w:rsid w:val="00F21B06"/>
    <w:rsid w:val="00F2210A"/>
    <w:rsid w:val="00F23942"/>
    <w:rsid w:val="00F2438B"/>
    <w:rsid w:val="00F30186"/>
    <w:rsid w:val="00F34031"/>
    <w:rsid w:val="00F3529B"/>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557ABA5D-36A3-4B3E-B349-7583184D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1576</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3</cp:revision>
  <dcterms:created xsi:type="dcterms:W3CDTF">2021-02-26T10:09:00Z</dcterms:created>
  <dcterms:modified xsi:type="dcterms:W3CDTF">2021-02-26T13:02:00Z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