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[Post113-e][053][MBS17]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af6"/>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a"/>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af6"/>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group-common PDCCH/PDSCH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PDCCH/PDSCH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The CFR has the frequency resources identical to the configured BWP.</w:t>
      </w:r>
    </w:p>
    <w:p w14:paraId="1CE12FCF"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zh-CN"/>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882754" w:rsidRPr="00E729BB" w:rsidRDefault="00882754" w:rsidP="003D62CA">
                              <w:pPr>
                                <w:pStyle w:val="af6"/>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882754" w:rsidRPr="00E729BB" w:rsidRDefault="00882754" w:rsidP="003D62CA">
                              <w:pPr>
                                <w:pStyle w:val="af6"/>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882754" w:rsidRPr="00E729BB" w:rsidRDefault="00882754" w:rsidP="003D62CA">
                              <w:pPr>
                                <w:pStyle w:val="af6"/>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882754" w:rsidRPr="00E729BB" w:rsidRDefault="00882754" w:rsidP="003D62CA">
                              <w:pPr>
                                <w:pStyle w:val="af6"/>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882754" w:rsidRPr="0089160B" w:rsidRDefault="00882754" w:rsidP="003D62CA">
                              <w:pPr>
                                <w:pStyle w:val="af6"/>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882754" w:rsidRPr="00E729BB" w:rsidRDefault="00882754" w:rsidP="003D62CA">
                              <w:pPr>
                                <w:pStyle w:val="af6"/>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882754" w:rsidRPr="00E729BB" w:rsidRDefault="00882754" w:rsidP="003D62CA">
                              <w:pPr>
                                <w:pStyle w:val="af6"/>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882754" w:rsidRPr="0098141B" w:rsidRDefault="00882754" w:rsidP="003D62CA">
                              <w:pPr>
                                <w:pStyle w:val="af6"/>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JyIgkAAApWAAAOAAAAZHJzL2Uyb0RvYy54bWzsXE2P3EgZviPxH6y+T9pVriq7Wpmskp6Z&#10;gLQsK2Vhz55ud7clt21sT3rCihsCTogTFxAIBEhIC6e9IcSvScLP4Kkqf7VnOtMzs4noSeUwsV3V&#10;dtX71vu8n1WPP7lcJ87LqCjjLD0ekUfuyInSWTaP0+Xx6EdfnB0FI6eswnQeJlkaHY9eReXokyff&#10;/c7jTT6JaLbKknlUOHhJWk42+fFoVVX5ZDwuZ6toHZaPsjxK0bjIinVY4bZYjudFuMHb18mYuq4Y&#10;b7JinhfZLCpLPD0xjaMn+v2LRTSrfrhYlFHlJMcjjK3Sfwv991z9HT95HE6WRZiv4lk9jPAOo1iH&#10;cYqPtq86CavQuSjiK69ax7MiK7NF9WiWrcfZYhHPIj0HzIa4g9k8L7KLXM9lOdks85ZMIO2ATnd+&#10;7eyzl58XTjwH70ZOGq7Borf/+vnr3/zKoZo4m3w5QZ/nRf4i/7wAtdSDpblT871cFGv1P2biXGqy&#10;vmrJGl1WzgwPBfN91wX1Z2ijPvPAOEP42Qrc6X5HfS9gTctp/WvJiKQSy0j/WgpXEK76jJuPj7eG&#10;tMmxkMqOVuX9aPViFeaRZkGp6FDTSrS0+uPfX//7z45QA1JfRpeWTuWkBMmc880PsjnIGl5UmV4i&#10;A5JJzgLQ2gFtpE+pV5OmIZ4nKPGkmb2gTARya/LhJC/K6nmUrR11cTwqsOT1Z8KXn5aVoVPTRTGq&#10;zJJ4fhYnib4plufTpHBehhCPKf6dndVv3+qWpM4Go+OUYxwhpHSRhBUu1znWTZkuR06YLCH+s6rQ&#10;n976cdn/Bj3BMm/Yt9VNjfEkLFdmLLpJDSWcQAbSub5aReH8NJ071asc9EyBJyM1rnU0HzlJhO+r&#10;K92zCuNkn55YQ0mqPhJpqDAEw91lVdNO8VRx0XD3PJu/AkcBdyD0Kit+iu8DOkCDn1yEBUaTfD/F&#10;epOEMYU1+oZxX3G36Lec91vSi/U0A/khf0WV6Ev0D9MZPnA8ApnN5bQyqAXYyMPq0/RFPlO/UYNX&#10;pPvi8suwyOs1UGECn2XN0g0ng6Vg+kKC1OzMnOobCI6Z6XuXINLBze++efPrv/73P3/A37df/81B&#10;C3hYC9M0rUHnXcLkLJI4/3FDjS0kIjyQkvhmVTQitYUoSrxUcwsnVyQqibHQFJ0HZFRCpx6nmRIn&#10;ve4+TkHRAgS01vruK+nK0+A0YEeMitMj5p6cHD09m7IjcUZ8fuKdTKcn5GeKnoRNVvF8HqWKfI3u&#10;JWw/vK6tAKM1W+27hSjahohaeAtnsyit9OICr3s9x9sj0UsBS2V7Vk/PuAvNFRz5PveOmHfqHj0L&#10;zqZHT6dECP/02fTZ6WBWpxpSym9nYi0+qVFlF1VUvFjNN848VpDvcUkhTvMYCEGVplW6tkNkp8iq&#10;L+NqpfFAKWf1jgFxzpe0FoL25YYODS6qu5Zh9dQ6SoGgBjPx6DrIVPKlnn9AfPEGKtpIeQ0rt9XR&#10;jHOP+cwqaaukPyYl7WHF1z6BsXPxoNPNtxWiwIUQKRNSWbqCUxpsq2Vr6VpLVxm9D8zS9bDit4VI&#10;+z931ETEI0Jy+IO1u0i1O6jVr/a1rRBZIXqIQjSMuHj3CbkwSbiAQdgIkY25qPiPdomMSrYxFx1+&#10;eWiayB9qIh0YuaMmChhxA4RWrDlnA5cfUeDSQyaiNucGgUu0dM7R/oHL7w0Cl8gHUGnEinApaKAj&#10;M52Fx1WsR+VCCBEuZzZ4eWM+4J1R/u0wnw1empCsDV4qrWhyIx8+eKnyfTswRrt7tcbeC2N0wNgk&#10;WT1kQlxpzF5GA+FrG7pDFkSNa1yhgmgws0mRd+UZLa7YpMhBJUXYIOn69p//eP2Xb7rUK9rvYsEM&#10;U6/So4FHtWOAbL8naV3T0eRfEaNyBUMHhTao7dBeyG6oKasijJerapqlKYobssJkvQ80G1tWUZhU&#10;q/0qF5rOSgW9q1TBGjE2A/v/loFVAm6MmDe//eWb33/95k+/cIjbt19UAsmpLp9lqBFrkcdU2zS1&#10;XW1hGaGcB/i1ijYQX3AEH7azR9TzBONIWOkyMe4Hpo5kN6zcVCjVlnUMMtrV5flljZJ1PdB2DVDn&#10;CyupTLOnqPtaxLoSq7MpP3g+HH7iDpPSeJB3NCk59X2f1WzhXDIxqLWpfVVBqevfULlm62wsyn9l&#10;62wOq86GdSUCOhx2xaTsVwzs5bBeW83XL8AhUsLCHOQ9fYZ6gtqkFJ5RDrux35qUSnlak9L6r4fl&#10;v7alFD2Tkuj4eG2/3MakZMwnUjQmJUdxvS7M6OJhABrGVflGa1Jqm3M3rNzHpKz3YBygZdllFa/X&#10;AP0k414aoBeyJMJHSN7wSDDpmbBkxyJKKUNdrmHRDdx5WKC///aHqojDdJlEFvKPR9a+PLA6btam&#10;W/uQr5Oed4B8It1AqAwuogiej4r+obfaR3yoB+RLaqlpNm01W6n23G31riCCRvxWeR1SLAF4fCWy&#10;Y3Z13YEnHiLEWsuCJ1SAQUPTHqVaLPBr2x7R4vfPlHZ5HRBTOLJ3/Zzh0BFDe21bYI/ibdUww442&#10;SIMJ6Utfmpd1atiTIhAQK50+9AgN+EcV07e6WDuTdk8VNq13G84e3J4qPkgfdolDtNwSXHSUZ1j6&#10;RAXzhG8KFDzsFjF7tjqYIRx75JX6Vjhzg2a20WQb4LHW/oFZ+/yanCHvl1XeJr5DhStRfmCMlu5k&#10;iaYKgUrEDhj2FejoTkAAOO/Z1m9D4YdkVu7MG/LWSt7XoLwW85GzJRypQZ3YJcSFta/Y0AN9Esg6&#10;wENcFgRSV63tDsJZ4LfAb4H/0IB/kEbsmZYtau4LM73wcX/LMbZ8Bf6VEL8LxVD7rUT5tdaqtOX0&#10;3akkGkntWSAbQ4dDPQuEd5tHr81Qof0u3uuVslcc5IX8lDJkKCecUG0gdYaMj+o3DwBkDE44t82R&#10;Kztiyw8rX9WUsu51YlfTGWyxRQq2SOGgihQQ+r6SHRF9I+ZWPmyAo5282oelPg5I1G/qQIVy5rsq&#10;9t/WKGj3abd7dO8ahfb0ikPyYgHLw4yV6KP+bXji+QFDLXLtsUom/cFBNlt1I6hKZvIGq/LePGmn&#10;8u3wBBXP+sBRjb714ajqRNP+Pa77R7g++R8AAAD//wMAUEsDBBQABgAIAAAAIQDLtaAB4gAAAAoB&#10;AAAPAAAAZHJzL2Rvd25yZXYueG1sTI/BTsMwEETvSPyDtUjcWseEQhPiVFUFnKpKtEiI2zbZJlFj&#10;O4rdJP17lhMcZ2c0+yZbTaYVA/W+cVaDmkcgyBaubGyl4fPwNluC8AFtia2zpOFKHlb57U2GaelG&#10;+0HDPlSCS6xPUUMdQpdK6YuaDPq568iyd3K9wcCyr2TZ48jlppUPUfQkDTaWP9TY0aam4ry/GA3v&#10;I47rWL0O2/Npc/0+LHZfW0Va399N6xcQgabwF4ZffEaHnJmO7mJLL1oNs2XMW4KGRaJAcCCJn/lw&#10;1PCYKAUyz+T/CfkPAAAA//8DAFBLAQItABQABgAIAAAAIQC2gziS/gAAAOEBAAATAAAAAAAAAAAA&#10;AAAAAAAAAABbQ29udGVudF9UeXBlc10ueG1sUEsBAi0AFAAGAAgAAAAhADj9If/WAAAAlAEAAAsA&#10;AAAAAAAAAAAAAAAALwEAAF9yZWxzLy5yZWxzUEsBAi0AFAAGAAgAAAAhABOHYnIiCQAAClYAAA4A&#10;AAAAAAAAAAAAAAAALgIAAGRycy9lMm9Eb2MueG1sUEsBAi0AFAAGAAgAAAAhAMu1oAHiAAAACgEA&#10;AA8AAAAAAAAAAAAAAAAAfAsAAGRycy9kb3ducmV2LnhtbFBLBQYAAAAABAAEAPMAAACLDAAAAAA=&#10;">
                <v:rect id="矩形 6" o:spid="_x0000_s1027" style="position:absolute;left:9548;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KlsQA&#10;AADaAAAADwAAAGRycy9kb3ducmV2LnhtbESPQWsCMRSE70L/Q3iF3mrWHqSsRrGlBasUdPXg8bl5&#10;bpZuXpYkrmt/fSMUPA4z8w0znfe2ER35UDtWMBpmIIhLp2uuFOx3n8+vIEJE1tg4JgVXCjCfPQym&#10;mGt34S11RaxEgnDIUYGJsc2lDKUhi2HoWuLknZy3GJP0ldQeLwluG/mSZWNpsea0YLCld0PlT3G2&#10;Co7levXR70ffX4c3Q75ZyePmt1Pq6bFfTEBE6uM9/N9eagVjuF1JN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XCpbEAAAA2gAAAA8AAAAAAAAAAAAAAAAAmAIAAGRycy9k&#10;b3ducmV2LnhtbFBLBQYAAAAABAAEAPUAAACJAwAAAAA=&#10;" fillcolor="#ccf" strokecolor="#2d2015">
                  <v:stroke joinstyle="round"/>
                </v:rect>
                <v:line id="直接连接符 11" o:spid="_x0000_s1028" style="position:absolute;flip:y;visibility:visible;mso-wrap-style:square" from="0,15899" to="94192,1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1Thb8AAADbAAAADwAAAGRycy9kb3ducmV2LnhtbERPzWrCQBC+F3yHZQRvdWMPVqKriFhQ&#10;KoWqDzBkxyS4Mxuyq4lv3y0I3ubj+53Fqmen7tSG2ouByTgDRVJ4W0tp4Hz6ep+BChHFovNCBh4U&#10;YLUcvC0wt76TX7ofY6lSiIQcDVQxNrnWoaiIMYx9Q5K4i28ZY4JtqW2LXQpnpz+ybKoZa0kNFTa0&#10;qai4Hm9sIBxY+OdTbjueObffHrrveCmNGQ379RxUpD6+xE/3zqb5E/j/JR2gl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f1Thb8AAADbAAAADwAAAAAAAAAAAAAAAACh&#10;AgAAZHJzL2Rvd25yZXYueG1sUEsFBgAAAAAEAAQA+QAAAI0DAAAAAA==&#10;" fillcolor="#5b9bd5 [3204]" strokecolor="#2d2015">
                  <v:shadow color="#e7e6e6 [3214]"/>
                </v:line>
                <v:rect id="矩形 13" o:spid="_x0000_s1029" style="position:absolute;left:45534;top:9722;width:3622;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0o8IA&#10;AADbAAAADwAAAGRycy9kb3ducmV2LnhtbERPS2sCMRC+F/wPYYTeatYWSlmNomKhtQi+Dh7HzbhZ&#10;3EyWJF23/fWNUPA2H99zxtPO1qIlHyrHCoaDDARx4XTFpYLD/v3pDUSIyBprx6TghwJMJ72HMeba&#10;XXlL7S6WIoVwyFGBibHJpQyFIYth4BrixJ2dtxgT9KXUHq8p3NbyOctepcWKU4PBhhaGisvu2yo4&#10;FV+rZXcYrj+Pc0O+XsnT5rdV6rHfzUYgInXxLv53f+g0/wVuv6Q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SjwgAAANsAAAAPAAAAAAAAAAAAAAAAAJgCAABkcnMvZG93&#10;bnJldi54bWxQSwUGAAAAAAQABAD1AAAAhwMAAAAA&#10;" fillcolor="#ccf" strokecolor="#2d2015">
                  <v:stroke joinstyle="round"/>
                </v:rect>
                <v:rect id="矩形 34" o:spid="_x0000_s1030" style="position:absolute;left:80534;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wt8YA&#10;AADbAAAADwAAAGRycy9kb3ducmV2LnhtbESPT2sCMRTE70K/Q3iF3mrWtpS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Awt8YAAADbAAAADwAAAAAAAAAAAAAAAACYAgAAZHJz&#10;L2Rvd25yZXYueG1sUEsFBgAAAAAEAAQA9QAAAIsDAAAAAA==&#10;" fillcolor="#ccf" strokecolor="#2d2015">
                  <v:stroke joinstyle="round"/>
                </v:rect>
                <v:rect id="矩形 35" o:spid="_x0000_s1031" style="position:absolute;left:13169;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yVLMYA&#10;AADbAAAADwAAAGRycy9kb3ducmV2LnhtbESPT2sCMRTE70K/Q3iF3mrWlpa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yVLMYAAADbAAAADwAAAAAAAAAAAAAAAACYAgAAZHJz&#10;L2Rvd25yZXYueG1sUEsFBgAAAAAEAAQA9QAAAIsDAAAAAA==&#10;" fillcolor="#ccf" strokecolor="#2d2015">
                  <v:stroke joinstyle="round"/>
                </v:rect>
                <v:rect id="矩形 36" o:spid="_x0000_s1032" style="position:absolute;left:49156;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4LW8UA&#10;AADbAAAADwAAAGRycy9kb3ducmV2LnhtbESPQWsCMRSE74X+h/AEbzWrgpStUWpRsJaCWg8en5vn&#10;ZunmZUnSdfXXN4WCx2FmvmGm887WoiUfKscKhoMMBHHhdMWlgsPX6ukZRIjIGmvHpOBKAeazx4cp&#10;5tpdeEftPpYiQTjkqMDE2ORShsKQxTBwDXHyzs5bjEn6UmqPlwS3tRxl2URarDgtGGzozVDxvf+x&#10;Ck7Fx2bZHYaf78eFIV9v5Gl7a5Xq97rXFxCRungP/7fXWsF4An9f0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gtbxQAAANsAAAAPAAAAAAAAAAAAAAAAAJgCAABkcnMv&#10;ZG93bnJldi54bWxQSwUGAAAAAAQABAD1AAAAigMAAAAA&#10;" fillcolor="#ccf" strokecolor="#2d2015">
                  <v:stroke joinstyle="round"/>
                </v:rect>
                <v:rect id="矩形 37" o:spid="_x0000_s1033" style="position:absolute;left:84108;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uwMYA&#10;AADbAAAADwAAAGRycy9kb3ducmV2LnhtbESPT2sCMRTE70K/Q3iF3mrWFtqyGkVLC60i1D8Hj8/N&#10;c7O4eVmSdF399KZQ8DjMzG+Y0aSztWjJh8qxgkE/A0FcOF1xqWC7+Xx8AxEissbaMSk4U4DJ+K43&#10;wly7E6+oXcdSJAiHHBWYGJtcylAYshj6riFO3sF5izFJX0rt8ZTgtpZPWfYiLVacFgw29G6oOK5/&#10;rYJ9sZh/dNvB8ns3M+Trudz/XFqlHu676RBEpC7ewv/tL63g+R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uwMYAAADbAAAADwAAAAAAAAAAAAAAAACYAgAAZHJz&#10;L2Rvd25yZXYueG1sUEsFBgAAAAAEAAQA9QAAAIsDAAAAAA==&#10;" fillcolor="#ccf" strokecolor="#2d2015">
                  <v:stroke joinstyle="round"/>
                </v:rect>
                <v:line id="直接连接符 38" o:spid="_x0000_s1034" style="position:absolute;flip:x;visibility:visible;mso-wrap-style:square" from="9542,15962" to="9548,27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KmeL8AAADbAAAADwAAAGRycy9kb3ducmV2LnhtbERP22rCQBB9L/Qflin0rW6qUEN0FSkK&#10;lorg5QOG7JgEd2ZDdjXp33cfBB8P5z5fDuzUnbrQeDHwOcpAkZTeNlIZOJ82HzmoEFEsOi9k4I8C&#10;LBevL3MsrO/lQPdjrFQKkVCggTrGttA6lDUxhpFvSRJ38R1jTLCrtO2wT+Hs9DjLvjRjI6mhxpa+&#10;ayqvxxsbCDsW3k/ltuXcuZ/1rv+Nl8qY97dhNQMVaYhP8cO9tQYmaWz6kn6AXv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3KmeL8AAADbAAAADwAAAAAAAAAAAAAAAACh&#10;AgAAZHJzL2Rvd25yZXYueG1sUEsFBgAAAAAEAAQA+QAAAI0DAAAAAA==&#10;" fillcolor="#5b9bd5 [3204]" strokecolor="#2d2015">
                  <v:shadow color="#e7e6e6 [3214]"/>
                </v:line>
                <v:line id="直接连接符 39" o:spid="_x0000_s1035" style="position:absolute;visibility:visible;mso-wrap-style:square" from="39170,4286" to="39170,15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IhMQAAADbAAAADwAAAGRycy9kb3ducmV2LnhtbESPUUvDMBSF3wf+h3AF39bUjontlhUR&#10;BFF8cAq+3jXXJra5KUnc6r83grDHwznnO5xtO7tRHClE61nBdVGCIO68ttwreH97WN6CiAlZ4+iZ&#10;FPxQhHZ3sdhio/2JX+m4T73IEI4NKjApTY2UsTPkMBZ+Is7epw8OU5ahlzrgKcPdKKuyvJEOLecF&#10;gxPdG+qG/bdTkExth+ojPNuuPpT48rT+Wg1rpa4u57sNiERzOof/249awaqGvy/5B8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wiExAAAANsAAAAPAAAAAAAAAAAA&#10;AAAAAKECAABkcnMvZG93bnJldi54bWxQSwUGAAAAAAQABAD5AAAAkgM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FWhMIAAADbAAAADwAAAGRycy9kb3ducmV2LnhtbESPT4vCMBTE74LfITzBm6aVRaQaRQRF&#10;qBf/4PnZPNvuJi+lydr67TcLC3scZuY3zGrTWyNe1PrasYJ0moAgLpyuuVRwu+4nCxA+IGs0jknB&#10;mzxs1sPBCjPtOj7T6xJKESHsM1RQhdBkUvqiIot+6hri6D1dazFE2ZZSt9hFuDVyliRzabHmuFBh&#10;Q7uKiq/Lt1XQzdNHip/n9+mYO3PIzf3p8oNS41G/XYII1If/8F/7qBV8pPD7Jf4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FWhMIAAADbAAAADwAAAAAAAAAAAAAA&#10;AAChAgAAZHJzL2Rvd25yZXYueG1sUEsFBgAAAAAEAAQA+QAAAJADA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17B666CC"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1ME8QAAADbAAAADwAAAGRycy9kb3ducmV2LnhtbESPT2sCMRTE74V+h/CE3mrWv+hqlFIo&#10;lEoP2oLX5+Z1k+7mZUlSXb+9KRR6HGbmN8x627tWnClE61nBaFiAIK68tlwr+Px4eVyAiAlZY+uZ&#10;FFwpwnZzf7fGUvsL7+l8SLXIEI4lKjApdaWUsTLkMA59R5y9Lx8cpixDLXXAS4a7Vo6LYi4dWs4L&#10;Bjt6NlQ1hx+nIJmlbcbHsLPV8lTg+9vse9LMlHoY9E8rEIn69B/+a79qBdMJ/H7JP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wTxAAAANsAAAAPAAAAAAAAAAAA&#10;AAAAAKECAABkcnMvZG93bnJldi54bWxQSwUGAAAAAAQABAD5AAAAkgM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b1HMIAAADbAAAADwAAAGRycy9kb3ducmV2LnhtbESPT4vCMBTE7wv7HcITvK1pRUS6RhFh&#10;RagX/+D52TzbrslLaaKt394IC3scZuY3zHzZWyMe1PrasYJ0lIAgLpyuuVRwOv58zUD4gKzROCYF&#10;T/KwXHx+zDHTruM9PQ6hFBHCPkMFVQhNJqUvKrLoR64hjt7VtRZDlG0pdYtdhFsjx0kylRZrjgsV&#10;NrSuqLgd7lZBN00vKf7un7tt7swmN+eryzdKDQf96htEoD78h//aW61gMoH3l/g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b1HMIAAADbAAAADwAAAAAAAAAAAAAA&#10;AAChAgAAZHJzL2Rvd25yZXYueG1sUEsFBgAAAAAEAAQA+QAAAJADA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48F663A5"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2SWMIAAADbAAAADwAAAGRycy9kb3ducmV2LnhtbERPXWvCMBR9F/wP4Q72ZlOl6uhMiwiy&#10;gWy6OtjrpblrO5ub0mRa//0yEHw8nO9VPphWnKl3jWUF0ygGQVxa3XCl4PO4nTyBcB5ZY2uZFFzJ&#10;QZ6NRytMtb3wB50LX4kQwi5FBbX3XSqlK2sy6CLbEQfu2/YGfYB9JXWPlxBuWjmL44U02HBoqLGj&#10;TU3lqfg1Cgqa/+y/kuG6e59Wx+Tt8LK0YZ56fBjWzyA8Df4uvrlftYJkCf9fwg+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2SWMIAAADbAAAADwAAAAAAAAAAAAAA&#10;AAChAgAAZHJzL2Rvd25yZXYueG1sUEsFBgAAAAAEAAQA+QAAAJADA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19BDA5DD"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882754" w:rsidRPr="00E729BB" w:rsidRDefault="00882754"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17AF246E" w14:textId="091CC93E" w:rsidR="00882754" w:rsidRPr="0089160B" w:rsidRDefault="00882754"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2c8cEAAADbAAAADwAAAGRycy9kb3ducmV2LnhtbERPTWvCQBC9C/0PyxR6azaKWomuIoJY&#10;KLVtFLwO2WmSmp0N2a3Gf985FDw+3vdi1btGXagLtWcDwyQFRVx4W3Np4HjYPs9AhYhssfFMBm4U&#10;YLV8GCwws/7KX3TJY6kkhEOGBqoY20zrUFTkMCS+JRbu23cOo8Cu1LbDq4S7Ro/SdKod1iwNFba0&#10;qag457/OQE6Tn4/TuL+97YflYfz+uXvxMs88PfbrOahIfbyL/92v1sBE1ssX+QF6+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3ZzxwQAAANsAAAAPAAAAAAAAAAAAAAAA&#10;AKECAABkcnMvZG93bnJldi54bWxQSwUGAAAAAAQABAD5AAAAjwM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fqRcIAAADbAAAADwAAAGRycy9kb3ducmV2LnhtbESP3WrCQBSE7wu+w3IE7+pGwVaiq4go&#10;WCoFfx7gkD0mwT1nQ3Y16dt3C4VeDjPzDbNc9+zUk9pQezEwGWegSApvaykNXC/71zmoEFEsOi9k&#10;4JsCrFeDlyXm1ndyouc5lipBJORooIqxybUORUWMYewbkuTdfMsYk2xLbVvsEpydnmbZm2asJS1U&#10;2NC2ouJ+frCBcGThr3d5HHju3Mfu2H3GW2nMaNhvFqAi9fE//Nc+WAOzCfx+ST9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fqRcIAAADbAAAADwAAAAAAAAAAAAAA&#10;AAChAgAAZHJzL2Rvd25yZXYueG1sUEsFBgAAAAAEAAQA+QAAAJADAAAAAA==&#10;" fillcolor="#5b9bd5 [3204]" strokecolor="#2d2015">
                  <v:shadow color="#e7e6e6 [3214]"/>
                </v:line>
                <v:shape id="文本框 58" o:spid="_x0000_s1046" type="#_x0000_t202" style="position:absolute;left:26090;top:273;width:29224;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14:paraId="10499D81"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rPr>
                          <w:t>sc-mcch-FirstSubframe</w:t>
                        </w:r>
                      </w:p>
                    </w:txbxContent>
                  </v:textbox>
                </v:shape>
                <v:line id="直接连接符 53" o:spid="_x0000_s1047" style="position:absolute;flip:x;visibility:visible;mso-wrap-style:square" from="45415,11105" to="45534,21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nRqcIAAADbAAAADwAAAGRycy9kb3ducmV2LnhtbESPUWvCQBCE3wv+h2MF3+rFSqtETxGp&#10;YKkUqv6AJbcmwdu9kDtN/Pe9QqGPw8x8wyzXPTt1pzbUXgxMxhkoksLbWkoD59PueQ4qRBSLzgsZ&#10;eFCA9WrwtMTc+k6+6X6MpUoQCTkaqGJscq1DURFjGPuGJHkX3zLGJNtS2xa7BGenX7LsTTPWkhYq&#10;bGhbUXE93thAOLDw10xue5479/F+6D7jpTRmNOw3C1CR+vgf/mvvrYHXKfx+ST9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AnRqcIAAADbAAAADwAAAAAAAAAAAAAA&#10;AAChAgAAZHJzL2Rvd25yZXYueG1sUEsFBgAAAAAEAAQA+QAAAJADAAAAAA==&#10;" fillcolor="#5b9bd5 [3204]" strokecolor="#2d2015">
                  <v:shadow color="#e7e6e6 [3214]"/>
                </v:line>
                <v:line id="直接连接符 54" o:spid="_x0000_s1048" style="position:absolute;visibility:visible;mso-wrap-style:square" from="80534,15687" to="80641,2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1CusQAAADbAAAADwAAAGRycy9kb3ducmV2LnhtbESPQUsDMRSE74L/ITzBm81aXWm3TUsp&#10;CGLx0Fro9XXzuom7eVmS2K7/vhEEj8PMfMPMl4PrxJlCtJ4VPI4KEMS115YbBfvP14cJiJiQNXae&#10;ScEPRVgubm/mWGl/4S2dd6kRGcKxQgUmpb6SMtaGHMaR74mzd/LBYcoyNFIHvGS46+S4KF6kQ8t5&#10;wWBPa0N1u/t2CpKZ2nZ8CBtbT48FfryXX09tqdT93bCagUg0pP/wX/tNKyif4fdL/gFy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jUK6xAAAANsAAAAPAAAAAAAAAAAA&#10;AAAAAKECAABkcnMvZG93bnJldi54bWxQSwUGAAAAAAQABAD5AAAAkgM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FYLcIAAADbAAAADwAAAGRycy9kb3ducmV2LnhtbESPQWvCQBSE7wX/w/IEb3UToaFEVxFB&#10;EeJFW3p+Zp9JdPdtyG5N/PeuUOhxmJlvmMVqsEbcqfONYwXpNAFBXDrdcKXg+2v7/gnCB2SNxjEp&#10;eJCH1XL0tsBcu56PdD+FSkQI+xwV1CG0uZS+rMmin7qWOHoX11kMUXaV1B32EW6NnCVJJi02HBdq&#10;bGlTU3k7/VoFfZaeU7weH4d94cyuMD8XV+yUmoyH9RxEoCH8h//ae63gI4PXl/g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FYLcIAAADbAAAADwAAAAAAAAAAAAAA&#10;AAChAgAAZHJzL2Rvd25yZXYueG1sUEsFBgAAAAAEAAQA+QAAAJADA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7C20AE18"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4DE3511F" w14:textId="77777777" w:rsidR="00882754" w:rsidRPr="0098141B" w:rsidRDefault="00882754" w:rsidP="003D62CA">
                        <w:pPr>
                          <w:pStyle w:val="NormalWeb"/>
                          <w:spacing w:before="0" w:beforeAutospacing="0" w:after="0" w:afterAutospacing="0"/>
                          <w:rPr>
                            <w:sz w:val="18"/>
                          </w:rPr>
                        </w:pPr>
                        <w:r w:rsidRPr="0098141B">
                          <w:rPr>
                            <w:rFonts w:asciiTheme="minorHAnsi" w:eastAsiaTheme="minorEastAsia" w:hAnsi="Calibri" w:cstheme="minorBidi"/>
                            <w:kern w:val="24"/>
                            <w:sz w:val="21"/>
                            <w:szCs w:val="32"/>
                          </w:rPr>
                          <w:t>SFNx</w:t>
                        </w:r>
                      </w:p>
                    </w:txbxContent>
                  </v:textbox>
                </v:shape>
                <w10:wrap type="topAndBottom" anchorx="margin"/>
              </v:group>
            </w:pict>
          </mc:Fallback>
        </mc:AlternateContent>
      </w:r>
      <w:r w:rsidR="003D62CA" w:rsidRPr="005F4125">
        <w:rPr>
          <w:rFonts w:eastAsia="Arial Unicode MS" w:hAnsi="Arial Unicode MS" w:cs="Arial Unicode MS"/>
          <w:noProof/>
          <w:lang w:eastAsia="zh-CN"/>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739905"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80C687" w:themeFill="background1" w:themeFillShade="BF"/>
          </w:tcPr>
          <w:p w14:paraId="07188F2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80C687" w:themeFill="background1" w:themeFillShade="BF"/>
          </w:tcPr>
          <w:p w14:paraId="543838E2"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80C687" w:themeFill="background1" w:themeFillShade="BF"/>
          </w:tcPr>
          <w:p w14:paraId="0BEB2A0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hint="eastAsia"/>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hint="eastAsia"/>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bl>
    <w:p w14:paraId="77259CAE" w14:textId="77777777" w:rsidR="008658F2" w:rsidRPr="005F4125" w:rsidRDefault="008658F2" w:rsidP="008658F2">
      <w:pPr>
        <w:spacing w:before="120" w:after="120"/>
        <w:rPr>
          <w:rFonts w:eastAsia="Arial Unicode MS" w:hAnsi="Arial Unicode MS" w:cs="Arial Unicode MS"/>
          <w:lang w:val="en-GB"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scheduled</w:t>
      </w:r>
      <w:r w:rsidR="006B2B61" w:rsidRPr="005F4125">
        <w:rPr>
          <w:rFonts w:eastAsia="Arial Unicode MS" w:hAnsi="Arial Unicode MS" w:cs="Arial Unicode MS"/>
          <w:color w:val="00B0F0"/>
          <w:lang w:eastAsia="ja-JP"/>
        </w:rPr>
        <w:t>:</w:t>
      </w:r>
    </w:p>
    <w:p w14:paraId="7FDE4246"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af8"/>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80C687" w:themeFill="background1" w:themeFillShade="BF"/>
          </w:tcPr>
          <w:p w14:paraId="770EE3B7"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80C687" w:themeFill="background1" w:themeFillShade="BF"/>
          </w:tcPr>
          <w:p w14:paraId="1142C856"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80C687" w:themeFill="background1" w:themeFillShade="BF"/>
          </w:tcPr>
          <w:p w14:paraId="4A0C5199"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hint="eastAsia"/>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hint="eastAsia"/>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w:t>
            </w:r>
            <w:r>
              <w:rPr>
                <w:rFonts w:ascii="Arial" w:hAnsi="Arial" w:cs="Arial"/>
                <w:noProof/>
                <w:sz w:val="18"/>
                <w:szCs w:val="18"/>
                <w:lang w:eastAsia="en-GB"/>
              </w:rPr>
              <w:t>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r>
              <w:rPr>
                <w:rFonts w:ascii="Arial" w:hAnsi="Arial" w:cs="Arial"/>
                <w:i/>
                <w:noProof/>
                <w:sz w:val="18"/>
                <w:szCs w:val="18"/>
                <w:lang w:eastAsia="en-GB"/>
              </w:rPr>
              <w:t>.</w:t>
            </w:r>
          </w:p>
          <w:p w14:paraId="354A07CA" w14:textId="2C64727D" w:rsidR="00422567" w:rsidRPr="00422567" w:rsidRDefault="00422567" w:rsidP="0092045D">
            <w:pPr>
              <w:rPr>
                <w:rFonts w:ascii="Arial" w:eastAsiaTheme="minorEastAsia" w:hAnsi="Arial" w:cs="Arial" w:hint="eastAsia"/>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bl>
    <w:p w14:paraId="7B36C070" w14:textId="5D8243C4" w:rsidR="00F313B9" w:rsidRPr="005F4125" w:rsidRDefault="00F313B9" w:rsidP="00F313B9">
      <w:pPr>
        <w:rPr>
          <w:rFonts w:eastAsia="Arial Unicode MS" w:hAnsi="Arial Unicode MS" w:cs="Arial Unicode MS"/>
          <w:b/>
        </w:rPr>
      </w:pPr>
    </w:p>
    <w:p w14:paraId="66BD4E4A" w14:textId="3B63AD25" w:rsidR="009F7CEC" w:rsidRPr="005F4125" w:rsidRDefault="009F7CEC" w:rsidP="009F7C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af8"/>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80C687" w:themeFill="background1" w:themeFillShade="BF"/>
          </w:tcPr>
          <w:p w14:paraId="5CFA05CE"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80C687" w:themeFill="background1" w:themeFillShade="BF"/>
          </w:tcPr>
          <w:p w14:paraId="7EBDA23F"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80C687" w:themeFill="background1" w:themeFillShade="BF"/>
          </w:tcPr>
          <w:p w14:paraId="4C06591A"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lastRenderedPageBreak/>
              <w:t>M</w:t>
            </w:r>
            <w:r>
              <w:rPr>
                <w:rFonts w:eastAsia="Arial Unicode MS" w:hAnsi="Arial Unicode MS" w:cs="Arial Unicode MS"/>
                <w:lang w:val="en-GB" w:eastAsia="zh-CN"/>
              </w:rPr>
              <w:t>ediaTek</w:t>
            </w:r>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hint="eastAsia"/>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hint="eastAsia"/>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hint="eastAsia"/>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bl>
    <w:p w14:paraId="055AF031" w14:textId="77777777" w:rsidR="009F7CEC" w:rsidRPr="005F4125" w:rsidRDefault="009F7CEC" w:rsidP="009F7CEC">
      <w:pPr>
        <w:rPr>
          <w:rFonts w:eastAsia="Arial Unicode MS" w:hAnsi="Arial Unicode MS" w:cs="Arial Unicode MS"/>
          <w:lang w:eastAsia="ja-JP"/>
        </w:rPr>
      </w:pPr>
    </w:p>
    <w:p w14:paraId="714FE648" w14:textId="67138D8F"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2.3 </w:t>
      </w:r>
      <w:r w:rsidR="00D602E5" w:rsidRPr="005F4125">
        <w:rPr>
          <w:rFonts w:ascii="Arial Unicode MS" w:eastAsia="Arial Unicode MS" w:hAnsi="Arial Unicode MS" w:cs="Arial Unicode MS"/>
        </w:rPr>
        <w:t>MCCH search space and a</w:t>
      </w:r>
      <w:r w:rsidR="00163327" w:rsidRPr="005F4125">
        <w:rPr>
          <w:rFonts w:ascii="Arial Unicode MS" w:eastAsia="Arial Unicode MS" w:hAnsi="Arial Unicode MS" w:cs="Arial Unicode MS"/>
        </w:rPr>
        <w:t xml:space="preserve">ssociation between </w:t>
      </w:r>
      <w:r w:rsidR="007D6ACA" w:rsidRPr="005F4125">
        <w:rPr>
          <w:rFonts w:ascii="Arial Unicode MS" w:eastAsia="Arial Unicode MS" w:hAnsi="Arial Unicode MS" w:cs="Arial Unicode MS"/>
        </w:rPr>
        <w:t>PDCCH</w:t>
      </w:r>
      <w:r w:rsidR="00163327" w:rsidRPr="005F4125">
        <w:rPr>
          <w:rFonts w:ascii="Arial Unicode MS" w:eastAsia="Arial Unicode MS" w:hAnsi="Arial Unicode MS" w:cs="Arial Unicode MS"/>
        </w:rPr>
        <w:t xml:space="preserve"> occasions and SSBs</w:t>
      </w:r>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 xml:space="preserve">e.g.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80C687" w:themeFill="background1" w:themeFillShade="BF"/>
          </w:tcPr>
          <w:p w14:paraId="6F83E7C7"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80C687" w:themeFill="background1" w:themeFillShade="BF"/>
          </w:tcPr>
          <w:p w14:paraId="325FBF98"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80C687" w:themeFill="background1" w:themeFillShade="BF"/>
          </w:tcPr>
          <w:p w14:paraId="1E45FF44"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hint="eastAsia"/>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hint="eastAsia"/>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hint="eastAsia"/>
                <w:iCs/>
                <w:noProof/>
                <w:sz w:val="18"/>
                <w:szCs w:val="18"/>
                <w:lang w:eastAsia="zh-CN"/>
              </w:rPr>
            </w:pPr>
            <w:r w:rsidRPr="001471FE">
              <w:rPr>
                <w:rFonts w:ascii="Arial" w:eastAsiaTheme="minorEastAsia" w:hAnsi="Arial" w:cs="Arial"/>
                <w:iCs/>
                <w:noProof/>
                <w:sz w:val="18"/>
                <w:szCs w:val="18"/>
                <w:lang w:eastAsia="zh-CN"/>
              </w:rPr>
              <w:t>It is up to RAN1.</w:t>
            </w:r>
          </w:p>
        </w:tc>
      </w:tr>
    </w:tbl>
    <w:p w14:paraId="785E1428" w14:textId="77777777" w:rsidR="00E91336" w:rsidRPr="005F4125" w:rsidRDefault="00E91336" w:rsidP="000126BA">
      <w:pPr>
        <w:rPr>
          <w:rFonts w:eastAsia="Arial Unicode MS" w:hAnsi="Arial Unicode MS" w:cs="Arial Unicode MS"/>
        </w:rPr>
      </w:pPr>
    </w:p>
    <w:p w14:paraId="704CB6B6" w14:textId="42B42353" w:rsidR="006B54C9" w:rsidRPr="005F4125" w:rsidRDefault="006B54C9" w:rsidP="006B54C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 xml:space="preserve">The UE is aware of the pre-defined mapping, and can receive SI </w:t>
      </w:r>
      <w:r w:rsidR="00335916" w:rsidRPr="005F4125">
        <w:rPr>
          <w:rFonts w:eastAsia="Arial Unicode MS" w:hAnsi="Arial Unicode MS" w:cs="Arial Unicode MS"/>
        </w:rPr>
        <w:lastRenderedPageBreak/>
        <w:t>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af8"/>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9" w:name="_Toc60867492"/>
            <w:bookmarkStart w:id="10"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9"/>
            <w:bookmarkEnd w:id="10"/>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af8"/>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w:t>
            </w:r>
            <w:r w:rsidRPr="005F4125">
              <w:rPr>
                <w:rFonts w:eastAsia="Arial Unicode MS" w:hAnsi="Arial Unicode MS" w:cs="Arial Unicode MS"/>
                <w:sz w:val="20"/>
                <w:szCs w:val="20"/>
                <w:lang w:val="en-GB" w:eastAsia="ja-JP"/>
              </w:rPr>
              <w:lastRenderedPageBreak/>
              <w:t xml:space="preserve">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x=0,1,…,X-1,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w:t>
      </w:r>
      <w:proofErr w:type="spellStart"/>
      <w:r w:rsidR="004C718B">
        <w:rPr>
          <w:rFonts w:eastAsia="Arial Unicode MS" w:hAnsi="Arial Unicode MS" w:cs="Arial Unicode MS"/>
        </w:rPr>
        <w:t>and</w:t>
      </w:r>
      <w:proofErr w:type="spellEnd"/>
      <w:r w:rsidR="004C718B">
        <w:rPr>
          <w:rFonts w:eastAsia="Arial Unicode MS" w:hAnsi="Arial Unicode MS" w:cs="Arial Unicode MS"/>
        </w:rPr>
        <w:t xml:space="preserve">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80C687" w:themeFill="background1" w:themeFillShade="BF"/>
          </w:tcPr>
          <w:p w14:paraId="1F0CA156"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80C687" w:themeFill="background1" w:themeFillShade="BF"/>
          </w:tcPr>
          <w:p w14:paraId="42962627"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80C687" w:themeFill="background1" w:themeFillShade="BF"/>
          </w:tcPr>
          <w:p w14:paraId="15426BB4"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hint="eastAsia"/>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hint="eastAsia"/>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hint="eastAsia"/>
                <w:color w:val="00B0F0"/>
                <w:lang w:eastAsia="zh-CN"/>
              </w:rPr>
            </w:pPr>
            <w:r w:rsidRPr="001471FE">
              <w:rPr>
                <w:rFonts w:ascii="Arial" w:eastAsiaTheme="minorEastAsia" w:hAnsi="Arial" w:cs="Arial"/>
                <w:iCs/>
                <w:noProof/>
                <w:sz w:val="18"/>
                <w:szCs w:val="18"/>
                <w:lang w:eastAsia="zh-CN"/>
              </w:rPr>
              <w:t>Beam sweeping for MCCH is same with SI and paging.</w:t>
            </w:r>
          </w:p>
        </w:tc>
      </w:tr>
    </w:tbl>
    <w:p w14:paraId="1D7C83E5" w14:textId="77777777" w:rsidR="00F85A82" w:rsidRPr="005F4125" w:rsidRDefault="00F85A82">
      <w:pPr>
        <w:rPr>
          <w:rFonts w:eastAsia="Arial Unicode MS" w:hAnsi="Arial Unicode MS" w:cs="Arial Unicode MS"/>
          <w:color w:val="00B0F0"/>
          <w:lang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lastRenderedPageBreak/>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lang w:eastAsia="zh-CN"/>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A11A98" w:rsidRPr="00E729BB" w:rsidRDefault="00A11A98" w:rsidP="00A11A98">
                                <w:pPr>
                                  <w:pStyle w:val="af6"/>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A11A98" w:rsidRPr="00E729BB" w:rsidRDefault="00A11A98" w:rsidP="00A11A98">
                                <w:pPr>
                                  <w:pStyle w:val="af6"/>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SSB</w:t>
                                </w:r>
                                <w:r w:rsidRPr="00DA1E63">
                                  <w:rPr>
                                    <w:rFonts w:asciiTheme="minorHAnsi" w:eastAsiaTheme="minorEastAsia" w:hAnsi="Calibri" w:cstheme="minorBidi"/>
                                    <w:kern w:val="24"/>
                                    <w:sz w:val="18"/>
                                    <w:szCs w:val="21"/>
                                    <w:shd w:val="clear" w:color="auto" w:fill="CCE8C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A11A98" w:rsidRPr="005004B6" w:rsidRDefault="00A11A98"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A11A98" w:rsidRPr="005004B6" w:rsidRDefault="00A11A98"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A11A98" w:rsidRPr="00DA1E63" w:rsidRDefault="00A11A98" w:rsidP="00A11A98">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8</w:t>
                                </w:r>
                              </w:p>
                            </w:txbxContent>
                          </wps:txbx>
                          <wps:bodyPr wrap="square" rtlCol="0">
                            <a:noAutofit/>
                          </wps:bodyPr>
                        </wps:wsp>
                      </wpg:grpSp>
                    </wpg:wgp>
                  </a:graphicData>
                </a:graphic>
              </wp:inline>
            </w:drawing>
          </mc:Choice>
          <mc:Fallback>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BUewkAACBQAAAOAAAAZHJzL2Uyb0RvYy54bWzsXMuO48YV3QfIPxDca8Qiiy9hNEaPpB4E&#10;mNiDjINZs0lKIkCRDMkedSfILoi9CrLKJoGNBIgBA15mFwT5Gs/kM3LqwaIe0562zFFLNnuh5qNY&#10;rLq3zrm3bt3i449uVqn2Oi6rJM/GOnlk6FqchXmUZIux/utPLweerlV1kEVBmmfxWL+NK/2jJz//&#10;2eN1MYrNfJmnUVxqqCSrRutirC/ruhgNh1W4jFdB9Sgv4gw353m5CmqclothVAZr1L5Kh6ZhOMN1&#10;XkZFmYdxVeHqVNzUn/D65/M4rD+Zz6u41tKxjrbV/Lfkv1fsd/jkcTBalEGxTELZjOCAVqyCJMNL&#10;VVXToA606zLZq2qVhGVe5fP6UZivhvl8noQx7wN6Q4yd3jwr8+uC92UxWi8KJSaIdkdOB1cbfvz6&#10;RaklEXTnQFVZsIKS3v77D9/++XONXYF81sVihGLPyuJl8aKUFxbijHX5Zl6u2H90Rrvhkr1Vko1v&#10;ai3ERYcQi1Bb10LcI5QQ6thC9uESCtp7LlzOmiepYxkWVCee9E3X5K0aNi8esvap5qwLjKOqFVX1&#10;w0T1chkUMddAxWSgROUqUX359bf/+QdE5QpR8WJKTtWogsjeISSbOiYkoEEapu94vEfBqJEWNRyX&#10;uEpaEADlI1X1ORgVZVU/i/OVxg7GeomBzsdf8Pp5VUNHKNoUYa+v8jSJLpM05ScMXPEkLbXXAWAR&#10;hGGc1YQ/nl6vfplH4jrgZUiA4DLTEi/uNZfxCg5TVhN/4cZLoJSm7/yovk1j9uo0+1U8x3DDkDD5&#10;C1UN+22plkEUi8v2ne/kFbKa5+icqlt05o66hXRkefZozHlCPWx8V8PEw+oJ/uY8q9XDqyTLy3dV&#10;kELC8s2iPES2IRp2eJVHtxhhZS5YqirCywTafR5U9YugBC0BBaDa+hP8zNN8PdZzeaRry7z87buu&#10;s/KAAO7q2ho0N9ar31wHZaxr6S8ygMMnFGNLq/kJtV0TJ+XmnavNO9n1apJjyBCQehHyQ1a+TpvD&#10;eZmvXoGRL9hbcSvIQrx7rId12ZxMakG/4PQwvrjgxcCFRVA/z14WIaucSZWN3k9vXgVlIYd4DXR8&#10;nDeADEY7I12UZU9m+cV1nc8TDoNWrlLeIAdBaZwyFLtJZJsK14ICIQ4orRMG3OIxy/BsX6J+hwFt&#10;l5oGbcixoUGfGsQG8zUEatuGJceT4N8HoMHWXvz1X2/+9M///fcL/L795itNmg3OhZNM2gzBB9rV&#10;GgQDGxNAR1zR7zQfxPZt3+E9bGnRxeiEGREyMA3bN7ck0DKeHDFpkjHu3hsqjDfFQGGMCP0yXtIA&#10;J982GekylMzToMbhqoiAmGyBwZsu4OCwcczKb1AdTsrFlWJTc4pGctvG+HGTdtmIngbVUlAavyW0&#10;DCufRbwZyziIZlmk1bcFRJTBYwJqx/oqjoDXGO9nR7xkHSTpfUqiEWnGWiwoSxgHLlIc8uuws9xR&#10;+Z1v+DNv5tEBNZ3ZgBrT6eDickIHziVs0dSaTiZT8nvWe0JHyySK4oyJr3GaCL2fpZXum3B3lNu0&#10;Jajv5O2NksPtlnAbBJLY7tXFpW241PIGrmtbA2rNjMFT73IyuJgQx3FnTydPZzu9mnFzUHXTMSV2&#10;1qr8uo7Ll8torUUJs9oWhjCGc5SAEU2X2ThGmWqgMUvwKqmXnPMYT7I6doRztWhAoCoXcuCd4Dre&#10;EJPsWispDA9ITBTj1oi7Ky1pYqxxKyVZ8wi+FbNGwgt985fP3vztmzd//6NGDJ+NetYsOGHMu9Lq&#10;m6c5nAhuU9uGNz6hckZNzwRxwluDo7VJrOg090tNy3KoTSWl2K5HGivd0FLjRd3T0cpyySk7HlB9&#10;c3XD3WzlJ0prv22UW1PKdH0vS3YEndhgRTkzEO4uLmzrQ54xb/e9DE9czybS+fVd04Rzj8dbmie+&#10;41MYYubwOyZ1PK58jNQDVbLBGDtcPcHf5SV7+y5X/zTtARNEC6aWBbjX+UG8yHa8K1cRZld4jY2j&#10;2KFzyHsngHd0YnPB9N0Rm2s4zK5xYiOEGJa7M4c8PrMpr++MmM21OlWK71sWamQxDteAi86Zq2U2&#10;j3quBWPEmM08hrFRZvOcVIJB3R1OiE0t14A14TohvmHv4OToOiFySqnm++fgAbBgVHdKMS1imj4c&#10;PaEUz3YeGijC7duweGehFKdLpViG6duOtCiuaXm+DEI0vvLxkcKnNuemFBUa7mL+YrkUvnJDXyeh&#10;FB6UOTelqFBVF0qh1DMoAfg4fVnE853tGczxkcKhem5K8bukL5t4jgU7ckJKUZPkM/K+vE7DL7aH&#10;oKLVKAWLZLAvW3P94yOFQ/XMkILpXQOVt3K9UUT/WT9kRAxiZWf3i8Agdm6wxQQQWB+BOaWI/H4E&#10;RgUOEcWUOpZ08sGW9n5CQRmClbbt0Ca7IuV8ALJMG4kODK09sk5srWsfWT2MRI7V98odatbfpeWR&#10;y+bEUPEBZaCU93MAjPolApGpc3pLxvswag3UbgC4N1DfJ9nvLmSpII9ClnJhD0DWtoHyTJ+vd7Yh&#10;6n7x7aGSMfaR1RuoDg2UCsspGCl/+gAYWUhOwgKO9PN6GJ1OTlMPI5FKj9zOH5Ijfpc1UoFUBSNl&#10;9Q+BkYkAN8v44dOlHkY9jLayhusfaSoIy2fbjTqopfoDYMRypFwiwqy+Z2N1YjvK2jt1vVPH8vB/&#10;ZBlVSHvahVGbXHEAjGxKbM8WyaI9jE47LN7PjbqbGyH5ZccatekwB8DIwf4+H8kj3KnzsSzLI4F9&#10;iAE78IRZfrD9Hv3c6EPOjUi7eUwu0uIKRH7gIq3jOR6xROqPf3QYbW8RbXeZbCXT91nyQru9MerQ&#10;GO2lOhCVcXaAMbJ8jzQu3dH3mvQgunPrYW+KPqgpUlkNXeQ7+q7vGGJahA83IDX4wdMdVbBEMu85&#10;ZGsT7AruMIeebTAxZMznNLTS7JU/q40NhOXxdrizAXunfbkuhEwgxLZ39rAfPeERG4ylD3pWWFHL&#10;dV0QmEUcYpiKwQxPDNV2Snp8raiZwVlpRa3+dKIVz3N8th2OpdETalBzJ2y9pRWPmthBydyGgzcC&#10;v3dvtqk8zbPSilpM6EIr1MFeUiKiN9CKQ/HVJkj9DqwcRSsqIfOctAKK6dCu2BbFdl+5tfS9PthR&#10;tKLy+85KKyrU2QVW4BUbFB/vkgx2ClhRuWHdaAUb5uXH1fh+ef4ZOk7BC/HJPPadu81zXqr9sN+T&#10;/wMAAP//AwBQSwMEFAAGAAgAAAAhAGK/i6TdAAAABQEAAA8AAABkcnMvZG93bnJldi54bWxMj0FL&#10;w0AQhe+C/2EZwZvdZItVYzalFPVUhLaCeJtmp0lodjZkt0n671296GXg8R7vfZMvJ9uKgXrfONaQ&#10;zhIQxKUzDVcaPvavd48gfEA22DomDRfysCyur3LMjBt5S8MuVCKWsM9QQx1Cl0npy5os+pnriKN3&#10;dL3FEGVfSdPjGMttK1WSLKTFhuNCjR2taypPu7PV8DbiuJqnL8PmdFxfvvb375+blLS+vZlWzyAC&#10;TeEvDD/4ER2KyHRwZzZetBriI+H3Ru9poR5AHDQopeYgi1z+py++AQAA//8DAFBLAQItABQABgAI&#10;AAAAIQC2gziS/gAAAOEBAAATAAAAAAAAAAAAAAAAAAAAAABbQ29udGVudF9UeXBlc10ueG1sUEsB&#10;Ai0AFAAGAAgAAAAhADj9If/WAAAAlAEAAAsAAAAAAAAAAAAAAAAALwEAAF9yZWxzLy5yZWxzUEsB&#10;Ai0AFAAGAAgAAAAhAE4t8FR7CQAAIFAAAA4AAAAAAAAAAAAAAAAALgIAAGRycy9lMm9Eb2MueG1s&#10;UEsBAi0AFAAGAAgAAAAhAGK/i6TdAAAABQEAAA8AAAAAAAAAAAAAAAAA1QsAAGRycy9kb3ducmV2&#10;LnhtbFBLBQYAAAAABAAEAPMAAADfDAAAAAA=&#10;">
                <v:rect id="矩形 167" o:spid="_x0000_s1053" style="position:absolute;left:5462;top:296;width:40672;height:14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GRMEA&#10;AADcAAAADwAAAGRycy9kb3ducmV2LnhtbERPzYrCMBC+C75DmAUvomkFu9I1ShWE9eDBbh9gaGbb&#10;ss2kNlHr228Ewdt8fL+z3g6mFTfqXWNZQTyPQBCXVjdcKSh+DrMVCOeRNbaWScGDHGw349EaU23v&#10;fKZb7isRQtilqKD2vkuldGVNBt3cdsSB+7W9QR9gX0nd4z2Em1YuoiiRBhsODTV2tK+p/MuvRsH+&#10;GC+L5HKKs13mp4XB6twlmVKTjyH7AuFp8G/xy/2tw/zkE57PhAv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ZBkTBAAAA3AAAAA8AAAAAAAAAAAAAAAAAmAIAAGRycy9kb3du&#10;cmV2LnhtbFBLBQYAAAAABAAEAPUAAACGAwAAAAA=&#10;" fillcolor="#deeaf6 [660]" strokecolor="#1f4d78 [1604]" strokeweight="1pt"/>
                <v:group id="_x0000_s1054" style="position:absolute;width:64630;height:13085" coordorigin=",5742" coordsize="94015,14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直接连接符 8" o:spid="_x0000_s1055"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qhj78AAADaAAAADwAAAGRycy9kb3ducmV2LnhtbERPTWsCMRC9F/wPYYTealbFoqtRRChI&#10;Sw9Vweu4GTdxN5MlSXX775tDocfH+15teteKO4VoPSsYjwoQxJXXlmsFp+PbyxxETMgaW8+k4Ici&#10;bNaDpxWW2j/4i+6HVIscwrFEBSalrpQyVoYcxpHviDN39cFhyjDUUgd85HDXyklRvEqHlnODwY52&#10;hqrm8O0UJLOwzeQcPmy1uBT4+T67TZuZUs/DfrsEkahP/+I/914ryFvzlXwD5P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uqhj78AAADaAAAADwAAAAAAAAAAAAAAAACh&#10;AgAAZHJzL2Rvd25yZXYueG1sUEsFBgAAAAAEAAQA+QAAAI0DAAAAAA==&#10;" fillcolor="#5b9bd5 [3204]" strokecolor="#2d2015">
                    <v:shadow color="#e7e6e6 [3214]"/>
                  </v:line>
                  <v:shape id="文本框 109" o:spid="_x0000_s1056" type="#_x0000_t202" style="position:absolute;left:28240;top:5742;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33F7665B"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wjMUA&#10;AADbAAAADwAAAGRycy9kb3ducmV2LnhtbESPQWsCMRSE7wX/Q3gFbzVrwSKrUay00CoFqx48PjfP&#10;zeLmZUniuu2vNwWhx2FmvmGm887WoiUfKscKhoMMBHHhdMWlgv3u/WkMIkRkjbVjUvBDAeaz3sMU&#10;c+2u/E3tNpYiQTjkqMDE2ORShsKQxTBwDXHyTs5bjEn6UmqP1wS3tXzOshdpseK0YLChpaHivL1Y&#10;BcdivXrr9sOvz8OrIV+v5HHz2yrVf+wWExCRuvgfvrc/tILRCP6+p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03CMxQAAANsAAAAPAAAAAAAAAAAAAAAAAJgCAABkcnMv&#10;ZG93bnJldi54bWxQSwUGAAAAAAQABAD1AAAAigMAAAAA&#10;" fillcolor="#ccf" strokecolor="#2d2015">
                    <v:stroke joinstyle="round"/>
                  </v:rect>
                  <v:shape id="文本框 109" o:spid="_x0000_s1058" type="#_x0000_t202" style="position:absolute;left:70650;top:1110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14:paraId="351E8953"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14:paraId="6F870DF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14:paraId="2B2EB9C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3A990DD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14:paraId="1CB493BA"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14:paraId="5693F6E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14:paraId="0573B5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14:paraId="43055CE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14:paraId="3FC9555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4fxMMA&#10;AADcAAAADwAAAGRycy9kb3ducmV2LnhtbERPS2sCMRC+F/wPYYTeatYW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4fxMMAAADcAAAADwAAAAAAAAAAAAAAAACYAgAAZHJzL2Rv&#10;d25yZXYueG1sUEsFBgAAAAAEAAQA9QAAAIgDAAAAAA==&#10;" fillcolor="#ccf" strokecolor="#2d2015">
                    <v:stroke joinstyle="round"/>
                    <v:textbox>
                      <w:txbxContent>
                        <w:p w14:paraId="29DAF100" w14:textId="77777777" w:rsidR="00A11A98" w:rsidRPr="005004B6" w:rsidRDefault="00A11A98"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HsMMA&#10;AADcAAAADwAAAGRycy9kb3ducmV2LnhtbERPS2sCMRC+F/wPYYTeatZS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eHsMMAAADcAAAADwAAAAAAAAAAAAAAAACYAgAAZHJzL2Rv&#10;d25yZXYueG1sUEsFBgAAAAAEAAQA9QAAAIgDAAAAAA==&#10;" fillcolor="#ccf" strokecolor="#2d2015">
                    <v:stroke joinstyle="round"/>
                  </v:rect>
                  <v:rect id="矩形 105" o:spid="_x0000_s1069"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siK8MA&#10;AADcAAAADwAAAGRycy9kb3ducmV2LnhtbERPS2sCMRC+F/wPYYTeatZCS1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siK8MAAADcAAAADwAAAAAAAAAAAAAAAACYAgAAZHJzL2Rv&#10;d25yZXYueG1sUEsFBgAAAAAEAAQA9QAAAIgDAAAAAA==&#10;" fillcolor="#ccf" strokecolor="#2d2015">
                    <v:stroke joinstyle="round"/>
                    <v:textbox>
                      <w:txbxContent>
                        <w:p w14:paraId="4F5C480B" w14:textId="77777777" w:rsidR="00A11A98" w:rsidRPr="005004B6" w:rsidRDefault="00A11A98"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8XMMA&#10;AADcAAAADwAAAGRycy9kb3ducmV2LnhtbERPS2sCMRC+F/wPYQRvNWsPUrZGUbHgg0KrHjyOm3Gz&#10;uJksSVzX/vqmUOhtPr7nTGadrUVLPlSOFYyGGQjiwumKSwXHw/vzK4gQkTXWjknBgwLMpr2nCeba&#10;3fmL2n0sRQrhkKMCE2OTSxkKQxbD0DXEibs4bzEm6EupPd5TuK3lS5aNpcWKU4PBhpaGiuv+ZhWc&#10;i9121R1HH5vTwpCvt/L8+d0qNeh38zcQkbr4L/5zr3Wan43h95l0g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m8XMMAAADcAAAADwAAAAAAAAAAAAAAAACYAgAAZHJzL2Rv&#10;d25yZXYueG1sUEsFBgAAAAAEAAQA9QAAAIgDAAAAAA==&#10;" fillcolor="#ccf" strokecolor="#2d2015">
                    <v:stroke joinstyle="round"/>
                  </v:rect>
                  <v:rect id="矩形 107" o:spid="_x0000_s1071"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Zx8MA&#10;AADcAAAADwAAAGRycy9kb3ducmV2LnhtbERPS2sCMRC+F/wPYYTeatYe2rIaRcVCaxF8HTyOm3Gz&#10;uJksSbpu++sboeBtPr7njKedrUVLPlSOFQwHGQjiwumKSwWH/fvTG4gQkTXWjknBDwWYTnoPY8y1&#10;u/KW2l0sRQrhkKMCE2OTSxkKQxbDwDXEiTs7bzEm6EupPV5TuK3lc5a9SIsVpwaDDS0MFZfdt1Vw&#10;Kr5Wy+4wXH8e54Z8vZKnzW+r1GO/m41AROriXfzv/tBpfvYK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UZx8MAAADcAAAADwAAAAAAAAAAAAAAAACYAgAAZHJzL2Rv&#10;d25yZXYueG1sUEsFBgAAAAAEAAQA9QAAAIgDAAAAAA==&#10;" fillcolor="#ccf" strokecolor="#2d2015">
                    <v:stroke joinstyle="round"/>
                  </v:rect>
                  <v:rect id="矩形 108" o:spid="_x0000_s1072"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NtcYA&#10;AADcAAAADwAAAGRycy9kb3ducmV2LnhtbESPQU8CMRCF7yb+h2ZIvEkXD8asFIJEE8WQKHDgOGyH&#10;7cbtdNPWZeXXMwcSbzN5b977ZjoffKt6iqkJbGAyLkARV8E2XBvYbd/un0CljGyxDUwG/ijBfHZ7&#10;M8XShhN/U7/JtZIQTiUacDl3pdapcuQxjUNHLNoxRI9Z1lhrG/Ek4b7VD0XxqD02LA0OO1o6qn42&#10;v97AofpcvQ67yfpj/+Iotit9+Dr3xtyNhsUzqExD/jdfr9+t4BdCK8/IBHp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qNtcYAAADcAAAADwAAAAAAAAAAAAAAAACYAgAAZHJz&#10;L2Rvd25yZXYueG1sUEsFBgAAAAAEAAQA9QAAAIsDAAAAAA==&#10;" fillcolor="#ccf" strokecolor="#2d2015">
                    <v:stroke joinstyle="round"/>
                  </v:rect>
                  <v:rect id="矩形 109" o:spid="_x0000_s1073"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oLsMA&#10;AADcAAAADwAAAGRycy9kb3ducmV2LnhtbERPS2sCMRC+F/wPYYTeatYeSrsaRcVCaxF8HTyOm3Gz&#10;uJksSbpu++sboeBtPr7njKedrUVLPlSOFQwHGQjiwumKSwWH/fvTK4gQkTXWjknBDwWYTnoPY8y1&#10;u/KW2l0sRQrhkKMCE2OTSxkKQxbDwDXEiTs7bzEm6EupPV5TuK3lc5a9SIsVpwaDDS0MFZfdt1Vw&#10;Kr5Wy+4wXH8e54Z8vZKnzW+r1GO/m41AROriXfzv/tBpfvYG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YoLsMAAADcAAAADwAAAAAAAAAAAAAAAACYAgAAZHJzL2Rv&#10;d25yZXYueG1sUEsFBgAAAAAEAAQA9QAAAIgDAAAAAA==&#10;" fillcolor="#ccf" strokecolor="#2d2015">
                    <v:stroke joinstyle="round"/>
                  </v:rect>
                  <v:rect id="矩形 110" o:spid="_x0000_s1074"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XbsYA&#10;AADcAAAADwAAAGRycy9kb3ducmV2LnhtbESPQU/DMAyF70j8h8hI3FhaDmgqy6aBQIJNSLDtsKPX&#10;eE1F41RJ6Mp+/XxA4mbrPb/3ebYYfacGiqkNbKCcFKCI62Bbbgzstq93U1ApI1vsApOBX0qwmF9f&#10;zbCy4cRfNGxyoySEU4UGXM59pXWqHXlMk9ATi3YM0WOWNTbaRjxJuO/0fVE8aI8tS4PDnp4d1d+b&#10;H2/gUK9XL+Ou/HjfPzmK3UofPs+DMbc34/IRVKYx/5v/rt+s4JeCL8/IBHp+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UXbsYAAADcAAAADwAAAAAAAAAAAAAAAACYAgAAZHJz&#10;L2Rvd25yZXYueG1sUEsFBgAAAAAEAAQA9QAAAIsDAAAAAA==&#10;" fillcolor="#ccf" strokecolor="#2d2015">
                    <v:stroke joinstyle="round"/>
                  </v:rect>
                  <v:rect id="矩形 111" o:spid="_x0000_s1075"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y9cMA&#10;AADcAAAADwAAAGRycy9kb3ducmV2LnhtbERPTWsCMRC9F/ofwhS8aXY9SNkaRUXBWgrVevA4bsbN&#10;4mayJOm67a9vCkJv83ifM533thEd+VA7VpCPMhDEpdM1VwqOn5vhM4gQkTU2jknBNwWYzx4fplho&#10;d+M9dYdYiRTCoUAFJsa2kDKUhiyGkWuJE3dx3mJM0FdSe7ylcNvIcZZNpMWaU4PBllaGyuvhyyo4&#10;l2+7dX/M319PS0O+2cnzx0+n1OCpX7yAiNTHf/HdvdVpfp7D3zPp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my9cMAAADcAAAADwAAAAAAAAAAAAAAAACYAgAAZHJzL2Rv&#10;d25yZXYueG1sUEsFBgAAAAAEAAQA9QAAAIgDAAAAAA==&#10;" fillcolor="#ccf" strokecolor="#2d2015">
                    <v:stroke joinstyle="round"/>
                  </v:rect>
                  <v:rect id="矩形 112" o:spid="_x0000_s1076"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nGcIA&#10;AADcAAAADwAAAGRycy9kb3ducmV2LnhtbERPS2sCMRC+F/ofwhR6WTSrh1JWo6hQkXryUXodNtPN&#10;0s3MkqS6/ntTKPQ2H99z5svBd+pCIbbCBibjEhRxLbblxsD59DZ6BRUTssVOmAzcKMJy8fgwx8rK&#10;lQ90OaZG5RCOFRpwKfWV1rF25DGOpSfO3JcEjynD0Ggb8JrDfaenZfmiPbacGxz2tHFUfx9/vIHt&#10;+iPsPqXY8sm9i2yKw764OWOen4bVDFSiIf2L/9w7m+dPpvD7TL5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cZwgAAANwAAAAPAAAAAAAAAAAAAAAAAJgCAABkcnMvZG93&#10;bnJldi54bWxQSwUGAAAAAAQABAD1AAAAhwMAAAAA&#10;" fillcolor="#e7e6e6 [3214]" strokecolor="#2d2015">
                    <v:stroke joinstyle="round"/>
                  </v:rect>
                  <v:rect id="矩形 113" o:spid="_x0000_s1077"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CgsIA&#10;AADcAAAADwAAAGRycy9kb3ducmV2LnhtbERPS0sDMRC+C/6HMIKXpc1WQcratNhCS9FTX/Q6bMbN&#10;4mZmSWK7/fdGELzNx/ec2WLwnbpQiK2wgcm4BEVci225MXA8rEdTUDEhW+yEycCNIizm93czrKxc&#10;eUeXfWpUDuFYoQGXUl9pHWtHHuNYeuLMfUrwmDIMjbYBrzncd/qpLF+0x5Zzg8OeVo7qr/23N7BZ&#10;nsL2LMWGD+5dZFXsPoqbM+bxYXh7BZVoSP/iP/fW5vmTZ/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sIKCwgAAANwAAAAPAAAAAAAAAAAAAAAAAJgCAABkcnMvZG93&#10;bnJldi54bWxQSwUGAAAAAAQABAD1AAAAhwMAAAAA&#10;" fillcolor="#e7e6e6 [3214]" strokecolor="#2d2015">
                    <v:stroke joinstyle="round"/>
                  </v:rect>
                  <v:shape id="文本框 109" o:spid="_x0000_s1078" type="#_x0000_t202" style="position:absolute;left:9796;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14:paraId="2244ACE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14:paraId="3FAB059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14:paraId="1F037277"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14:paraId="624B009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14:paraId="7261A37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14:paraId="26CA43C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w:txbxContent>
                        <w:p w14:paraId="389656CC"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14:paraId="7A8CAA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zh-CN"/>
        </w:rPr>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882754" w:rsidRPr="00E729BB" w:rsidRDefault="00882754" w:rsidP="00462102">
                                <w:pPr>
                                  <w:pStyle w:val="af6"/>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882754" w:rsidRPr="00E729BB" w:rsidRDefault="00882754" w:rsidP="00462102">
                                <w:pPr>
                                  <w:pStyle w:val="af6"/>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882754" w:rsidRPr="00DA1E63" w:rsidRDefault="00882754" w:rsidP="00462102">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882754" w:rsidRPr="00DA1E63" w:rsidRDefault="00882754" w:rsidP="00462102">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882754" w:rsidRPr="00DA1E63" w:rsidRDefault="00882754" w:rsidP="00462102">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882754" w:rsidRPr="00DA1E63" w:rsidRDefault="00882754" w:rsidP="00462102">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882754" w:rsidRPr="005004B6" w:rsidRDefault="00882754"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882754" w:rsidRPr="005004B6" w:rsidRDefault="00882754"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882754" w:rsidRPr="00DA1E63" w:rsidRDefault="00882754" w:rsidP="00462102">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882754" w:rsidRPr="00DA1E63" w:rsidRDefault="00882754" w:rsidP="00462102">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882754" w:rsidRPr="00DA1E63" w:rsidRDefault="00882754" w:rsidP="00462102">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882754" w:rsidRPr="00DA1E63" w:rsidRDefault="00882754" w:rsidP="00462102">
                                <w:pPr>
                                  <w:pStyle w:val="af6"/>
                                  <w:spacing w:before="0" w:beforeAutospacing="0" w:after="0" w:afterAutospacing="0"/>
                                  <w:rPr>
                                    <w:sz w:val="21"/>
                                    <w:shd w:val="clear" w:color="auto" w:fill="CCE8CF" w:themeFill="background1"/>
                                  </w:rPr>
                                </w:pPr>
                                <w:r>
                                  <w:rPr>
                                    <w:rFonts w:asciiTheme="minorHAnsi" w:eastAsiaTheme="minorEastAsia" w:hAnsi="Calibri" w:cstheme="minorBidi"/>
                                    <w:kern w:val="24"/>
                                    <w:sz w:val="18"/>
                                    <w:szCs w:val="21"/>
                                    <w:shd w:val="clear" w:color="auto" w:fill="CCE8C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882754" w:rsidRPr="00282F73" w:rsidRDefault="00882754" w:rsidP="00462102">
                                <w:pPr>
                                  <w:pStyle w:val="af6"/>
                                  <w:spacing w:before="0" w:beforeAutospacing="0" w:after="0" w:afterAutospacing="0"/>
                                  <w:rPr>
                                    <w:sz w:val="15"/>
                                  </w:rPr>
                                </w:pPr>
                                <w:proofErr w:type="spellStart"/>
                                <w:r w:rsidRPr="00282F73">
                                  <w:rPr>
                                    <w:i/>
                                    <w:sz w:val="15"/>
                                  </w:rPr>
                                  <w:t>firstPDCCH-MonitoringOccasionOfPO</w:t>
                                </w:r>
                                <w:proofErr w:type="spellEnd"/>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882754" w:rsidRPr="00E729BB" w:rsidRDefault="00882754" w:rsidP="00462102">
                                <w:pPr>
                                  <w:pStyle w:val="af6"/>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UiDAoAAHBUAAAOAAAAZHJzL2Uyb0RvYy54bWzsXE1v28gZvhfofyB0V8Qhh19ClIUj22mB&#10;dDfYbJszTVISAYpkSTqyW/RWdPdU9LSXFi120RYosO1pb0XRX5OkP6PPfFIfdmI7smS1zMGhyOFw&#10;5v143o95Zx5/cjHPjNdJVadFPuqRR2bPSPKoiNN8Our99IvTvt8z6ibM4zAr8mTUu0zq3idPfviD&#10;x4tymFjFrMjipDLQSV4PF+WoN2uacjgY1NEsmYf1o6JMcjycFNU8bPCzmg7iKlyg93k2sEzTHSyK&#10;Ki6rIkrqGnePxcPeE97/ZJJEzWeTSZ00RjbqYWwN/1vxv2fs7+DJ43A4rcJylkZyGOEdRjEP0xwf&#10;1V0dh01onFfpRlfzNKqKupg0j6JiPigmkzRK+BwwG2KuzeZZVZyXfC7T4WJaajKBtGt0unO30aev&#10;X1RGGoN3HuiTh3Mw6d0/f/3md18Z7A7osyinQzR7VpUvyxeVvDEVv9iULybVnP2PyRgXnLKXmrLJ&#10;RWNEuOk4junYTs+I8Iz4nu37jqB9NAODNt6LZidLb/oOad8MvIC9OVAfHrDx6eEsSshR3ZKq/jhS&#10;vZyFZcI5UDMaKFK5tibVn/725l/fGgR3OGV4M02neliDZFcQyaLUtDERA+SwTd9zfEENRS/i+k5g&#10;SXoFxPZcTi496XBYVnXzLCnmBrsY9SpIOhfA8PXzuhH0UU3Y9+siS+PTNMv4D6ZdyTirjNch9CKM&#10;oiRvCH89O5//pIjFfeiXKTUEtxmbeHNf3cZouJ6ynjhDVj6S5fv4LsbEPgyhULTnV81llrDhZPnn&#10;yQTiDpG0+Hz1BDZJUc/COBG3nWunzDtkPU9AW923oOU1fQvmyPbs1YTjlH7ZfN/AxMv6Df7lIm/0&#10;y/M0L6qrOsjAYPll0V4RSZCGUemsiC8h4VUhULIuo9MUwvU8rJsXYQVYBEAA6pvP8GeSFYtRr5BX&#10;PWNWVL+46j5rDxXE056xAMyOevXPz8Mq6RnZj3MoZ0CgCcBl/oM6noUf1fKTs+Un+fl8XEBiAQcY&#10;Hb9k7ZtMXU6qYv4KFuGIfRWPwjzCt0e9qKnUj3Ej4B82JUqOjngzYHEZNs/zl2XEOmdUZcrzxcWr&#10;sCqlhjXQzU8LBQjhcE3RRFv2Zl4cnTfFJOVa2NJV0hvgJCCVQ5ZGV4UslqWRRYAwCAK2bQuDr0LS&#10;cKgxuG871KaegCUfIM1lhjVQcOybHqUejDoDcsu0PMtVciXswD7g2Grh+Pffv/3tX/7z7z/i77vv&#10;/moQPOLk47g8zqX9EthgnC2AdbB3IfjFmX6lKSNO4AQC36Gr0ix5kFRiS7NkmQBrqV2qCwW+Unqy&#10;NGd2ZENsGIQLoWHgjKEyjDKgWoHD4Z9pzCQLGxB8XsbQnnwKQc6mcLaYTLP2K6hbV9MzDezWMQap&#10;DMdKMza647CeCXjjj9j4wyE8jjzmV7MkjE/y2GguS5Aoh/cGDR715kkM3U3wfXbFWzZhmt2kpcRm&#10;BXjCTnGS4pJ9nBGXO02/DMzgxD/xaZ9a7kmfmsfH/aPTMe27p8Rzju3j8fiY/IrNntDhLI3jJGfk&#10;Uw4coTez+tKVFK6XduFWCPVeDF9qOVgdCTeHmM7qrI5OHaiP7fc9z7H71D4x+0/903H/aExc1zt5&#10;On56sjarE24a6u1MTFgNSevivEmql7N4YcQpcyBsiDDEOU6BjpbH7B2DTy1ozCq8SpsZxz+GmWxm&#10;a8Q5myol0J0LOvBJ8O8ukUlOraUUxAMUE81WzbcwTJA1btYlgu7Cz7OoRuMNYKG3BRZjkqXlj5R9&#10;kd6yRy3iCsAFzriWz0koVIE7zowpDGs903HWPN8NJ7ADGS5NwvPU0s4xSklWBzIdyDw0kEGYJ+Nu&#10;DjLv/vH3N3/+ftmH4SacQSJC0Bv5MBxqfrYONbbtm0AT5rghovThXyjV4DG6GziO6wLxuGtnUcIR&#10;Dqh8jUtTN1WYTmfNuMhzRJ9FJRznNb/4UBycuknCrJndzMdRjZlJEgEncEVZOUXUzqnpnBomHsr0&#10;rOUk9ufUuApv3n795ds/fPf2m98YxORJNYkxLH9lNBdPC6RJeHTXumMtGkgHhgSmT1k+jMOKY9sI&#10;ipQGcFixbNuljoIVx/PJasC44cV8KJWVFzJUWiNoc3F2wTOZlqdcM5nRWE08tOkC5sPeKFrfia+J&#10;oFqaAZlTtHhScIknoKvixAdjV+Ih1kfWkPEl8CzLlpk8SCNnCwncgCLZwMDetajrr2ZVb82VpVgI&#10;gcFyFDrGv9NTxhIow0qz/89IlxFCsVEwVIrpveXKWonXCbFmPR22xRQYn52Yk5zqLkM2JNWFGm0D&#10;3ZYTYo5PTeTG9g1uGhQOCdxsnaHbBlds0woc5qkCu4hn2X7AXdU2avYplpgQVXNPdicmR5vPg+IK&#10;SLg9XbE9CosDk/JguCJsHsPag+KKjge3oSuU+iYlcPk4V2ziB+4qhO1cV4SDeHBc2arX7BDftV2x&#10;/ku8B8EVnng8OK60TvN6gtbWhvJWWZONBC08Y6psjQuP2llLmzhdhlYASrcMxCKclQUpHvIg4uqW&#10;gVgeRCXIVsh0CMtAto4p3snQHHdkMA5wWSv3+XBojuViE8H9fkLz1dqfds2ui8x1wYYo2mK2UOeU&#10;EMBIhktXsgvWb1PJqMpmGE2X6uhY6c9qzgt37q5YlkOIbYpcZJfzekjVHeBpl/NCgTMq3j6mcvc6&#10;NcKq3poa6bT9XezTXlPHnX3ihbPaW4LqqDWkTS1q7ZMuR+nsk9g6cKuS+OsUq63GlI4flky2ZZ98&#10;K1hbKrvfNZlOsW6hWJ0WbVGLdPJfhU9Ue9N3ME82inGR05fh0661qFvZvL68btM+dWq0RTXSqzVa&#10;jbTRv4saWViwYQEYFgYCVIPt1hh1atSpEdttJOPCHRYIUL28ptVoub7ytsk8VjnjEbGSE/gOFtuY&#10;g9guRd+vT9epUadGe1IjvR6q1YgvLMsM323VyKHE8R2xEaJToy51x3Z5Lu3f/J8tV2ObLddSd7p6&#10;9Q5OnUsoCVANxZ26AEUGa4vV92uNugxDl2HYj0/XloGoPN1y9cdtjZHruz6xRSVb0GnRw9kk3CUY&#10;xDk597SMtFHmQD+mzMEOfKI8up1vQOhMUWeK9mKKHJ3s3kb1rk1cgkM2uD9HCDV9cRxIm17YffWu&#10;TpbI3O5BbK5i+8+2WOnu+27A9hewmmpwheKcgJWkzwpXfGp5973lzdax90FxRafitqEr1MWRWti0&#10;LLniUmT69swVHcodFFd0ZmcbXHFsikNPRE0WdAW7dd63/2AnuqJDg0PiCttYsz0EI5bjIG3NdcVe&#10;OuhJ7Q614LxZLALiR4/YViDqH1HFe81hAB+9abetqD0ormzVrlDTBWPEyrbrWVSdvtdyZddbqdty&#10;zO1wBUWA8rBGvvDDj7Vk5eDqCE52bubyb96qPSj0yX8BAAD//wMAUEsDBBQABgAIAAAAIQCzzkl7&#10;3wAAAAgBAAAPAAAAZHJzL2Rvd25yZXYueG1sTI9BS8NAEIXvgv9hGcGb3U1qtMZsSinqqRRsBfE2&#10;TaZJaHY2ZLdJ+u/dnvT2Hm9475tsOZlWDNS7xrKGaKZAEBe2bLjS8LV/f1iAcB65xNYyabiQg2V+&#10;e5NhWtqRP2nY+UqEEnYpaqi971IpXVGTQTezHXHIjrY36IPtK1n2OIZy08pYqSdpsOGwUGNH65qK&#10;0+5sNHyMOK7m0duwOR3Xl599sv3eRKT1/d20egXhafJ/x3DFD+iQB6aDPXPpRHv1wmuYKxVEiBfP&#10;jzGIg4bkJYlB5pn8/0D+CwAA//8DAFBLAQItABQABgAIAAAAIQC2gziS/gAAAOEBAAATAAAAAAAA&#10;AAAAAAAAAAAAAABbQ29udGVudF9UeXBlc10ueG1sUEsBAi0AFAAGAAgAAAAhADj9If/WAAAAlAEA&#10;AAsAAAAAAAAAAAAAAAAALwEAAF9yZWxzLy5yZWxzUEsBAi0AFAAGAAgAAAAhAPsalSIMCgAAcFQA&#10;AA4AAAAAAAAAAAAAAAAALgIAAGRycy9lMm9Eb2MueG1sUEsBAi0AFAAGAAgAAAAhALPOSXvfAAAA&#10;CAEAAA8AAAAAAAAAAAAAAAAAZgwAAGRycy9kb3ducmV2LnhtbFBLBQYAAAAABAAEAPMAAAByDQAA&#10;AAA=&#10;">
                <v:rect id="矩形 163" o:spid="_x0000_s1087" style="position:absolute;left:24403;top:3087;width:16860;height:9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sycMA&#10;AADcAAAADwAAAGRycy9kb3ducmV2LnhtbERPTWvCQBC9C/6HZQq9iG5sJZSYjYi0paeCUXoes2MS&#10;m50N2W2S9td3BcHbPN7npJvRNKKnztWWFSwXEQjiwuqaSwXHw9v8BYTzyBoby6TglxxssukkxUTb&#10;gffU574UIYRdggoq79tESldUZNAtbEscuLPtDPoAu1LqDocQbhr5FEWxNFhzaKiwpV1FxXf+YxSs&#10;4q+2+etf2V5m42l4lzmeP3OlHh/G7RqEp9HfxTf3hw7z42e4PhMu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hsycMAAADcAAAADwAAAAAAAAAAAAAAAACYAgAAZHJzL2Rv&#10;d25yZXYueG1sUEsFBgAAAAAEAAQA9QAAAIgDAAAAAA==&#10;" fillcolor="#deeaf6 [660]" strokecolor="#deeaf6 [660]" strokeweight="1pt"/>
                <v:group id="_x0000_s1088" style="position:absolute;width:55508;height:18739" coordorigin="-3543,3838" coordsize="80744,20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直接连接符 123" o:spid="_x0000_s1089"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fjfMIAAADcAAAADwAAAGRycy9kb3ducmV2LnhtbERP30vDMBB+H/g/hBN8W1M7Jq5bWkQQ&#10;RPHBKfh6a84mtrmUJG71vzeCsLf7+H7erp3dKI4UovWs4LooQRB3XlvuFby/PSxvQcSErHH0TAp+&#10;KELbXCx2WGt/4lc67lMvcgjHGhWYlKZaytgZchgLPxFn7tMHhynD0Esd8JTD3SirsryRDi3nBoMT&#10;3Rvqhv23U5DMxg7VR3i23eZQ4svT+ms1rJW6upzvtiASzeks/nc/6jy/WsHfM/kC2f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afjfMIAAADcAAAADwAAAAAAAAAAAAAA&#10;AAChAgAAZHJzL2Rvd25yZXYueG1sUEsFBgAAAAAEAAQA+QAAAJADAAAAAA==&#10;" fillcolor="#5b9bd5 [3204]" strokecolor="#2d2015">
                    <v:shadow color="#e7e6e6 [3214]"/>
                  </v:line>
                  <v:line id="直接连接符 124" o:spid="_x0000_s1090" style="position:absolute;flip:x;visibility:visible;mso-wrap-style:square" from="7421,15962" to="7426,23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IQxMAAAADcAAAADwAAAGRycy9kb3ducmV2LnhtbERP22rCQBB9L/gPywi+1Y0iVqKriLRg&#10;qRRq/YAhOybBndmQXU36911B8G0O5zqrTc9O3agNtRcDk3EGiqTwtpbSwOn343UBKkQUi84LGfij&#10;AJv14GWFufWd/NDtGEuVQiTkaKCKscm1DkVFjGHsG5LEnX3LGBNsS21b7FI4Oz3NsrlmrCU1VNjQ&#10;rqLicryygXBg4e83ue554dzn+6H7iufSmNGw3y5BRerjU/xw722aP53B/Zl0gV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yEMTAAAAA3AAAAA8AAAAAAAAAAAAAAAAA&#10;oQIAAGRycy9kb3ducmV2LnhtbFBLBQYAAAAABAAEAPkAAACOAw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emr8AAAADcAAAADwAAAGRycy9kb3ducmV2LnhtbERPTYvCMBC9L/gfwgje1rTCylKNIoIi&#10;1IuueB6bsa0mk9Jkbf33RljY2zze58yXvTXiQa2vHStIxwkI4sLpmksFp5/N5zcIH5A1Gsek4Eke&#10;lovBxxwz7To+0OMYShFD2GeooAqhyaT0RUUW/dg1xJG7utZiiLAtpW6xi+HWyEmSTKXFmmNDhQ2t&#10;Kyrux1+roJumlxRvh+d+lzuzzc356vKtUqNhv5qBCNSHf/Gfe6fj/MkXvJ+JF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LHpq/AAAAA3AAAAA8AAAAAAAAAAAAAAAAA&#10;oQIAAGRycy9kb3ducmV2LnhtbFBLBQYAAAAABAAEAPkAAACOAw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14:paraId="77E03E2E" w14:textId="52B1DAC4"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R1cYA&#10;AADcAAAADwAAAGRycy9kb3ducmV2LnhtbESPQU8CMRCF7yb8h2ZIvEkXDsasFKIGEsWQCHLwOGzH&#10;7cbtdNPWZeXXMwcSbzN5b977Zr4cfKt6iqkJbGA6KUARV8E2XBs4fK7vHkCljGyxDUwG/ijBcjG6&#10;mWNpw4l31O9zrSSEU4kGXM5dqXWqHHlMk9ARi/Ydoscsa6y1jXiScN/qWVHca48NS4PDjl4cVT/7&#10;X2/gWL1vVsNhun37enYU240+fpx7Y27Hw9MjqExD/jdfr1+t4M+EVp6RCf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R1cYAAADcAAAADwAAAAAAAAAAAAAAAACYAgAAZHJz&#10;L2Rvd25yZXYueG1sUEsFBgAAAAAEAAQA9QAAAIsDAAAAAA==&#10;" fillcolor="#ccf" strokecolor="#2d2015">
                    <v:stroke joinstyle="round"/>
                  </v:rect>
                  <v:shape id="文本框 109" o:spid="_x0000_s1094" type="#_x0000_t202" style="position:absolute;left:-3543;top:5840;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14:paraId="53D367DC" w14:textId="77777777"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14:paraId="69916932" w14:textId="26ED87BB"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14:paraId="0A7D8373" w14:textId="017CC6F6"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14:paraId="0C2895EB" w14:textId="2AE97D6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14:paraId="0C0C0242" w14:textId="5A7D5899"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aMHMMAAADcAAAADwAAAGRycy9kb3ducmV2LnhtbESP0UrDQBBF3wX/YRnBN7uxgoa021Kk&#10;QsUiWPsBQ3aahO7Mhuy2iX/vPAi+zXDv3HtmuZ44mCsNqYvi4HFWgCGpo++kcXD8fnsowaSM4jFE&#10;IQc/lGC9ur1ZYuXjKF90PeTGaIikCh20OfeVtaluiTHNYk+i2ikOjFnXobF+wFHDOdh5UTxbxk60&#10;ocWeXluqz4cLO0h7Fv58kcuOyxDet/vxI58a5+7vps0CTKYp/5v/rnde8Z+UVp/RCez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mjBzDAAAA3AAAAA8AAAAAAAAAAAAA&#10;AAAAoQIAAGRycy9kb3ducmV2LnhtbFBLBQYAAAAABAAEAPkAAACRAwAAAAA=&#10;" fillcolor="#5b9bd5 [3204]" strokecolor="#2d2015">
                    <v:shadow color="#e7e6e6 [3214]"/>
                  </v:line>
                  <v:rect id="矩形 139" o:spid="_x0000_s1100"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pCMIA&#10;AADcAAAADwAAAGRycy9kb3ducmV2LnhtbERPTUsDMRC9C/0PYQpeFptVQX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ekIwgAAANwAAAAPAAAAAAAAAAAAAAAAAJgCAABkcnMvZG93&#10;bnJldi54bWxQSwUGAAAAAAQABAD1AAAAhwMAAAAA&#10;" fillcolor="#e7e6e6 [3214]" strokecolor="#2d2015">
                    <v:stroke joinstyle="round"/>
                    <v:textbox>
                      <w:txbxContent>
                        <w:p w14:paraId="20BB1D40" w14:textId="77777777" w:rsidR="00882754" w:rsidRPr="005004B6" w:rsidRDefault="00882754"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4c8YA&#10;AADcAAAADwAAAGRycy9kb3ducmV2LnhtbESPQUsDMRCF70L/Q5iCtzZbEZG1abGioBWh1h48Tjfj&#10;ZulmsiRxu+2vdw4FbzO8N+99M18OvlU9xdQENjCbFqCIq2Abrg3svl4m96BSRrbYBiYDJ0qwXIyu&#10;5ljacORP6re5VhLCqUQDLueu1DpVjjymaeiIRfsJ0WOWNdbaRjxKuG/1TVHcaY8NS4PDjp4cVYft&#10;rzewr97Xz8Nu9vH2vXIU27Xeb869Mdfj4fEBVKYh/5sv169W8G8FX56RC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Y4c8YAAADcAAAADwAAAAAAAAAAAAAAAACYAgAAZHJz&#10;L2Rvd25yZXYueG1sUEsFBgAAAAAEAAQA9QAAAIsDAAAAAA==&#10;" fillcolor="#ccf" strokecolor="#2d2015">
                    <v:stroke joinstyle="round"/>
                  </v:rect>
                  <v:rect id="矩形 141" o:spid="_x0000_s1102"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Wc8IA&#10;AADcAAAADwAAAGRycy9kb3ducmV2LnhtbERPS0sDMRC+C/6HMIKXpc1WRMratNhCS9FTX/Q6bMbN&#10;4mZmSWK7/fdGELzNx/ec2WLwnbpQiK2wgcm4BEVci225MXA8rEdTUDEhW+yEycCNIizm93czrKxc&#10;eUeXfWpUDuFYoQGXUl9pHWtHHuNYeuLMfUrwmDIMjbYBrzncd/qpLF+0x5Zzg8OeVo7qr/23N7BZ&#10;nsL2LMWGD+5dZFXsPoqbM+bxYXh7BZVoSP/iP/fW5vnPE/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ZZzwgAAANwAAAAPAAAAAAAAAAAAAAAAAJgCAABkcnMvZG93&#10;bnJldi54bWxQSwUGAAAAAAQABAD1AAAAhwMAAAAA&#10;" fillcolor="#e7e6e6 [3214]" strokecolor="#2d2015">
                    <v:stroke joinstyle="round"/>
                    <v:textbox>
                      <w:txbxContent>
                        <w:p w14:paraId="455DE4E2" w14:textId="77777777" w:rsidR="00882754" w:rsidRPr="005004B6" w:rsidRDefault="00882754"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8IBMIA&#10;AADcAAAADwAAAGRycy9kb3ducmV2LnhtbERPS0sDMRC+C/6HMIKXpc22iJS1abEFS9FTX/Q6bMbN&#10;4mZmSWK7/fdGELzNx/ec+XLwnbpQiK2wgcm4BEVci225MXA8vI1moGJCttgJk4EbRVgu7u/mWFm5&#10;8o4u+9SoHMKxQgMupb7SOtaOPMax9MSZ+5TgMWUYGm0DXnO47/S0LJ+1x5Zzg8Oe1o7qr/23N7BZ&#10;ncL2LMWGD+5dZF3sPoqbM+bxYXh9AZVoSP/iP/fW5vlPU/h9Jl+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wgEwgAAANwAAAAPAAAAAAAAAAAAAAAAAJgCAABkcnMvZG93&#10;bnJldi54bWxQSwUGAAAAAAQABAD1AAAAhwMAAAAA&#10;" fillcolor="#e7e6e6 [3214]" strokecolor="#2d2015">
                    <v:stroke joinstyle="round"/>
                  </v:rect>
                  <v:rect id="矩形 143" o:spid="_x0000_s1104"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SmBMQA&#10;AADcAAAADwAAAGRycy9kb3ducmV2LnhtbERPS2sCMRC+C/0PYQq91axtKWU1ipYWWkWoj4PHcTNu&#10;FjeTJUnX1V9vCgVv8/E9ZzTpbC1a8qFyrGDQz0AQF05XXCrYbj4f30CEiKyxdkwKzhRgMr7rjTDX&#10;7sQratexFCmEQ44KTIxNLmUoDFkMfdcQJ+7gvMWYoC+l9nhK4baWT1n2Ki1WnBoMNvRuqDiuf62C&#10;fbGYf3TbwfJ7NzPk67nc/1xapR7uu+kQRKQu3sT/7i+d5r88w9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EpgTEAAAA3AAAAA8AAAAAAAAAAAAAAAAAmAIAAGRycy9k&#10;b3ducmV2LnhtbFBLBQYAAAAABAAEAPUAAACJAwAAAAA=&#10;" fillcolor="#ccf" strokecolor="#2d2015">
                    <v:stroke joinstyle="round"/>
                  </v:rect>
                  <v:rect id="矩形 144" o:spid="_x0000_s1105"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cMMA&#10;AADcAAAADwAAAGRycy9kb3ducmV2LnhtbERPTWsCMRC9F/wPYQreatYiRVajWGmhVQpWPXgcN+Nm&#10;cTNZkrhu++tNQehtHu9zpvPO1qIlHyrHCoaDDARx4XTFpYL97v1pDCJEZI21Y1LwQwHms97DFHPt&#10;rvxN7TaWIoVwyFGBibHJpQyFIYth4BrixJ2ctxgT9KXUHq8p3NbyOctepMWKU4PBhpaGivP2YhUc&#10;i/XqrdsPvz4Pr4Z8vZLHzW+rVP+xW0xAROriv/ju/tBp/mgEf8+kC+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0+cMMAAADcAAAADwAAAAAAAAAAAAAAAACYAgAAZHJzL2Rv&#10;d25yZXYueG1sUEsFBgAAAAAEAAQA9QAAAIgDAAAAAA==&#10;" fillcolor="#ccf" strokecolor="#2d2015">
                    <v:stroke joinstyle="round"/>
                  </v:rect>
                  <v:rect id="矩形 145" o:spid="_x0000_s1106"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b68QA&#10;AADcAAAADwAAAGRycy9kb3ducmV2LnhtbERPS2sCMRC+C/0PYQq91aylLWU1ipYWWkWoj4PHcTNu&#10;FjeTJUnX1V9vCgVv8/E9ZzTpbC1a8qFyrGDQz0AQF05XXCrYbj4f30CEiKyxdkwKzhRgMr7rjTDX&#10;7sQratexFCmEQ44KTIxNLmUoDFkMfdcQJ+7gvMWYoC+l9nhK4baWT1n2Ki1WnBoMNvRuqDiuf62C&#10;fbGYf3TbwfJ7NzPk67nc/1xapR7uu+kQRKQu3sT/7i+d5j+/wN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hm+vEAAAA3AAAAA8AAAAAAAAAAAAAAAAAmAIAAGRycy9k&#10;b3ducmV2LnhtbFBLBQYAAAAABAAEAPUAAACJAwAAAAA=&#10;" fillcolor="#ccf" strokecolor="#2d2015">
                    <v:stroke joinstyle="round"/>
                  </v:rect>
                  <v:rect id="矩形 146" o:spid="_x0000_s1107"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MFnMMA&#10;AADcAAAADwAAAGRycy9kb3ducmV2LnhtbERPTWsCMRC9C/0PYQreNGsRka1R2lJBLYK1HjyOm3Gz&#10;dDNZkrhu++sbQehtHu9zZovO1qIlHyrHCkbDDARx4XTFpYLD13IwBREissbaMSn4oQCL+UNvhrl2&#10;V/6kdh9LkUI45KjAxNjkUobCkMUwdA1x4s7OW4wJ+lJqj9cUbmv5lGUTabHi1GCwoTdDxff+YhWc&#10;io/Ne3cYbdfHV0O+3sjT7rdVqv/YvTyDiNTFf/HdvdJp/ngCt2fSB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MFnMMAAADcAAAADwAAAAAAAAAAAAAAAACYAgAAZHJzL2Rv&#10;d25yZXYueG1sUEsFBgAAAAAEAAQA9QAAAIgDAAAAAA==&#10;" fillcolor="#ccf" strokecolor="#2d2015">
                    <v:stroke joinstyle="round"/>
                  </v:rect>
                  <v:rect id="矩形 147" o:spid="_x0000_s1108"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rnMIA&#10;AADcAAAADwAAAGRycy9kb3ducmV2LnhtbERPTUsDMRC9C/0PYQpeFptVRGVtWmrBUvTU1tLrsBk3&#10;SzczSxLb7b83gtDbPN7nTOeD79SJQmyFDdxPSlDEtdiWGwNfu/e7F1AxIVvshMnAhSLMZ6ObKVZW&#10;zryh0zY1KodwrNCAS6mvtI61I49xIj1x5r4leEwZhkbbgOcc7jv9UJZP2mPLucFhT0tH9XH74w2s&#10;3vZhfZBixTv3IbIsNp/FxRlzOx4Wr6ASDekq/nevbZ7/+Ax/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OKucwgAAANwAAAAPAAAAAAAAAAAAAAAAAJgCAABkcnMvZG93&#10;bnJldi54bWxQSwUGAAAAAAQABAD1AAAAhwMAAAAA&#10;" fillcolor="#e7e6e6 [3214]" strokecolor="#2d2015">
                    <v:stroke joinstyle="round"/>
                  </v:rect>
                  <v:rect id="矩形 148" o:spid="_x0000_s1109"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c/7sQA&#10;AADcAAAADwAAAGRycy9kb3ducmV2LnhtbESPQUsDQQyF74L/YYjgZbGzikhZOy1asBQ9tVW8hp24&#10;s7iTLDNju/335iB4S3gv731ZrKY4mCOl3As7uJ3VYIhb8T13Dt4PLzdzMLkgexyEycGZMqyWlxcL&#10;bLyceEfHfemMhnBu0EEoZWyszW2giHkmI7FqX5IiFl1TZ33Ck4bHwd7V9YON2LM2BBxpHaj93v9E&#10;B5vnj7T9lGrDh/Aqsq52b9U5OHd9NT09gik0lX/z3/XWK/690uozOoF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nP+7EAAAA3AAAAA8AAAAAAAAAAAAAAAAAmAIAAGRycy9k&#10;b3ducmV2LnhtbFBLBQYAAAAABAAEAPUAAACJAwAAAAA=&#10;" fillcolor="#e7e6e6 [3214]" strokecolor="#2d2015">
                    <v:stroke joinstyle="round"/>
                  </v:rect>
                  <v:rect id="矩形 149" o:spid="_x0000_s1110"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adcIA&#10;AADcAAAADwAAAGRycy9kb3ducmV2LnhtbERPTUsDMRC9C/0PYQpeFptVRH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65p1wgAAANwAAAAPAAAAAAAAAAAAAAAAAJgCAABkcnMvZG93&#10;bnJldi54bWxQSwUGAAAAAAQABAD1AAAAhwMAAAAA&#10;" fillcolor="#e7e6e6 [3214]" strokecolor="#2d2015">
                    <v:stroke joinstyle="round"/>
                  </v:rect>
                  <v:shape id="文本框 109" o:spid="_x0000_s1111"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w:p w14:paraId="343EA70D" w14:textId="73EFE32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14:paraId="629B69C6" w14:textId="57E09FB3"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14:paraId="7F35B8C7" w14:textId="52FBFC8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14:paraId="4AFEA10E" w14:textId="04D8DF0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14:paraId="70B7933A" w14:textId="62DC5C08" w:rsidR="00882754" w:rsidRPr="00282F73" w:rsidRDefault="00882754" w:rsidP="00462102">
                          <w:pPr>
                            <w:pStyle w:val="NormalWeb"/>
                            <w:spacing w:before="0" w:beforeAutospacing="0" w:after="0" w:afterAutospacing="0"/>
                            <w:rPr>
                              <w:sz w:val="15"/>
                            </w:rPr>
                          </w:pPr>
                          <w:r w:rsidRPr="00282F73">
                            <w:rPr>
                              <w:i/>
                              <w:sz w:val="15"/>
                            </w:rPr>
                            <w:t>firstPDCCH-MonitoringOccasionOfPO</w:t>
                          </w:r>
                        </w:p>
                      </w:txbxContent>
                    </v:textbox>
                  </v:shape>
                  <v:shape id="文本框 109" o:spid="_x0000_s1116" type="#_x0000_t202" style="position:absolute;left:40612;top:6724;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14:paraId="59A02F31" w14:textId="39770BB5"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POx</w:t>
                          </w:r>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lastRenderedPageBreak/>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af8"/>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80C687" w:themeFill="background1" w:themeFillShade="BF"/>
          </w:tcPr>
          <w:p w14:paraId="33856EB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80C687" w:themeFill="background1" w:themeFillShade="BF"/>
          </w:tcPr>
          <w:p w14:paraId="20F4E6D4"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80C687" w:themeFill="background1" w:themeFillShade="BF"/>
          </w:tcPr>
          <w:p w14:paraId="6E481B0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hint="eastAsia"/>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hint="eastAsia"/>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hint="eastAsia"/>
                <w:color w:val="00B0F0"/>
                <w:lang w:eastAsia="zh-CN"/>
              </w:rPr>
            </w:pPr>
            <w:r w:rsidRPr="001471FE">
              <w:rPr>
                <w:rFonts w:ascii="Arial" w:eastAsiaTheme="minorEastAsia" w:hAnsi="Arial" w:cs="Arial"/>
                <w:iCs/>
                <w:noProof/>
                <w:sz w:val="18"/>
                <w:szCs w:val="18"/>
                <w:lang w:eastAsia="zh-CN"/>
              </w:rPr>
              <w:t xml:space="preserve">The detailed </w:t>
            </w:r>
            <w:proofErr w:type="spellStart"/>
            <w:r w:rsidRPr="001471FE">
              <w:rPr>
                <w:rFonts w:ascii="Arial" w:eastAsiaTheme="minorEastAsia" w:hAnsi="Arial" w:cs="Arial"/>
                <w:iCs/>
                <w:noProof/>
                <w:sz w:val="18"/>
                <w:szCs w:val="18"/>
                <w:lang w:eastAsia="zh-CN"/>
              </w:rPr>
              <w:t>maping</w:t>
            </w:r>
            <w:proofErr w:type="spellEnd"/>
            <w:r w:rsidRPr="001471FE">
              <w:rPr>
                <w:rFonts w:ascii="Arial" w:eastAsiaTheme="minorEastAsia" w:hAnsi="Arial" w:cs="Arial"/>
                <w:iCs/>
                <w:noProof/>
                <w:sz w:val="18"/>
                <w:szCs w:val="18"/>
                <w:lang w:eastAsia="zh-CN"/>
              </w:rPr>
              <w:t xml:space="preserve"> between MCCH PDCCH and SSB index should be discussed further.</w:t>
            </w:r>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80C687" w:themeFill="background1" w:themeFillShade="BF"/>
          </w:tcPr>
          <w:p w14:paraId="3A64C563"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80C687" w:themeFill="background1" w:themeFillShade="BF"/>
          </w:tcPr>
          <w:p w14:paraId="46F54440"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80C687" w:themeFill="background1" w:themeFillShade="BF"/>
          </w:tcPr>
          <w:p w14:paraId="4A482A8F"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hint="eastAsia"/>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hint="eastAsia"/>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bl>
    <w:p w14:paraId="493996ED" w14:textId="6272449F" w:rsidR="00E467D9" w:rsidRPr="005F4125" w:rsidRDefault="00E467D9" w:rsidP="00E467D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w:t>
      </w:r>
      <w:r w:rsidR="00D71079" w:rsidRPr="005F4125">
        <w:rPr>
          <w:rFonts w:eastAsia="Arial Unicode MS" w:hAnsi="Arial Unicode MS" w:cs="Arial Unicode MS"/>
          <w:lang w:eastAsia="zh-CN"/>
        </w:rPr>
        <w:lastRenderedPageBreak/>
        <w:t xml:space="preserve">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rsidP="001E01CA">
      <w:pPr>
        <w:ind w:left="220" w:hangingChars="100" w:hanging="220"/>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80C687" w:themeFill="background1" w:themeFillShade="BF"/>
          </w:tcPr>
          <w:p w14:paraId="2BFC3466"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80C687" w:themeFill="background1" w:themeFillShade="BF"/>
          </w:tcPr>
          <w:p w14:paraId="057306D3"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80C687" w:themeFill="background1" w:themeFillShade="BF"/>
          </w:tcPr>
          <w:p w14:paraId="28D970FF"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hint="eastAsia"/>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hint="eastAsia"/>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hint="eastAsia"/>
                <w:color w:val="00B0F0"/>
                <w:lang w:eastAsia="zh-CN"/>
              </w:rPr>
            </w:pPr>
            <w:r w:rsidRPr="001471FE">
              <w:rPr>
                <w:rFonts w:ascii="Arial" w:eastAsiaTheme="minorEastAsia" w:hAnsi="Arial" w:cs="Arial"/>
                <w:iCs/>
                <w:noProof/>
                <w:sz w:val="18"/>
                <w:szCs w:val="18"/>
                <w:lang w:eastAsia="zh-CN"/>
              </w:rPr>
              <w:t>It should be up to RAN1 decision.</w:t>
            </w:r>
          </w:p>
        </w:tc>
      </w:tr>
    </w:tbl>
    <w:p w14:paraId="79BDD204" w14:textId="77777777" w:rsidR="00EC5946"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80C687" w:themeFill="background1" w:themeFillShade="BF"/>
          </w:tcPr>
          <w:p w14:paraId="25521910"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80C687" w:themeFill="background1" w:themeFillShade="BF"/>
          </w:tcPr>
          <w:p w14:paraId="59982F69" w14:textId="4B4560B2"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80C687" w:themeFill="background1" w:themeFillShade="BF"/>
          </w:tcPr>
          <w:p w14:paraId="3E5FBC9D"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hint="eastAsia"/>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bl>
    <w:p w14:paraId="11EC4187" w14:textId="77777777" w:rsidR="00903A77" w:rsidRPr="005F4125" w:rsidRDefault="00903A77" w:rsidP="00903A77">
      <w:pPr>
        <w:rPr>
          <w:rFonts w:eastAsia="Arial Unicode MS" w:hAnsi="Arial Unicode MS" w:cs="Arial Unicode MS"/>
          <w:lang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lastRenderedPageBreak/>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80C687" w:themeFill="background1" w:themeFillShade="BF"/>
          </w:tcPr>
          <w:p w14:paraId="0C118EA5"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80C687" w:themeFill="background1" w:themeFillShade="BF"/>
          </w:tcPr>
          <w:p w14:paraId="189A1960" w14:textId="084C307E" w:rsidR="00E467D9" w:rsidRPr="005F4125" w:rsidRDefault="00F77734"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80C687" w:themeFill="background1" w:themeFillShade="BF"/>
          </w:tcPr>
          <w:p w14:paraId="6ACC2BA6"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bl>
    <w:p w14:paraId="74625B5A" w14:textId="77777777" w:rsidR="008B0CBE" w:rsidRPr="005F4125" w:rsidRDefault="008B0CBE" w:rsidP="00DA1E63">
      <w:pPr>
        <w:rPr>
          <w:rFonts w:eastAsia="Arial Unicode MS" w:hAnsi="Arial Unicode MS" w:cs="Arial Unicode MS"/>
          <w:lang w:eastAsia="zh-CN"/>
        </w:rPr>
      </w:pPr>
    </w:p>
    <w:p w14:paraId="015D59F7" w14:textId="77777777" w:rsidR="00E73434" w:rsidRPr="005F4125" w:rsidRDefault="00E73434" w:rsidP="00E73434">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MCCH Change notification </w:t>
      </w:r>
    </w:p>
    <w:p w14:paraId="6E4BDD4E" w14:textId="7CFB6D2B"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subframe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-IoT</w:t>
      </w:r>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lastRenderedPageBreak/>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5C2CED94" w:rsidR="001A2E10" w:rsidRPr="005F4125" w:rsidRDefault="002D2C78" w:rsidP="001A2E10">
      <w:pPr>
        <w:spacing w:before="120" w:after="120"/>
        <w:rPr>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af8"/>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80C687" w:themeFill="background1" w:themeFillShade="BF"/>
          </w:tcPr>
          <w:p w14:paraId="40F4C7F5"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80C687" w:themeFill="background1" w:themeFillShade="BF"/>
          </w:tcPr>
          <w:p w14:paraId="09A7C897" w14:textId="2132CAF4"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80C687" w:themeFill="background1" w:themeFillShade="BF"/>
          </w:tcPr>
          <w:p w14:paraId="04C70062"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hint="eastAsia"/>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hint="eastAsia"/>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hint="eastAsia"/>
                <w:color w:val="00B0F0"/>
                <w:lang w:eastAsia="zh-CN"/>
              </w:rPr>
            </w:pPr>
            <w:r w:rsidRPr="00192FCF">
              <w:rPr>
                <w:rFonts w:ascii="Arial" w:eastAsiaTheme="minorEastAsia" w:hAnsi="Arial" w:cs="Arial"/>
                <w:iCs/>
                <w:noProof/>
                <w:sz w:val="18"/>
                <w:szCs w:val="18"/>
                <w:lang w:eastAsia="zh-CN"/>
              </w:rPr>
              <w:t xml:space="preserve">We agree the notification RNTI can be introduced in NR as LTE SC-PTM. But the number of </w:t>
            </w:r>
            <w:proofErr w:type="gramStart"/>
            <w:r w:rsidRPr="00192FCF">
              <w:rPr>
                <w:rFonts w:ascii="Arial" w:eastAsiaTheme="minorEastAsia" w:hAnsi="Arial" w:cs="Arial"/>
                <w:iCs/>
                <w:noProof/>
                <w:sz w:val="18"/>
                <w:szCs w:val="18"/>
                <w:lang w:eastAsia="zh-CN"/>
              </w:rPr>
              <w:t>notification</w:t>
            </w:r>
            <w:proofErr w:type="gramEnd"/>
            <w:r w:rsidRPr="00192FCF">
              <w:rPr>
                <w:rFonts w:ascii="Arial" w:eastAsiaTheme="minorEastAsia" w:hAnsi="Arial" w:cs="Arial"/>
                <w:iCs/>
                <w:noProof/>
                <w:sz w:val="18"/>
                <w:szCs w:val="18"/>
                <w:lang w:eastAsia="zh-CN"/>
              </w:rPr>
              <w:t xml:space="preserve"> RNTI is FFS.</w:t>
            </w:r>
          </w:p>
        </w:tc>
      </w:tr>
    </w:tbl>
    <w:p w14:paraId="3F1F5F15" w14:textId="77777777" w:rsidR="00F85A82" w:rsidRPr="005F4125" w:rsidRDefault="00F85A82">
      <w:pPr>
        <w:rPr>
          <w:rFonts w:eastAsia="Arial Unicode MS" w:hAnsi="Arial Unicode MS" w:cs="Arial Unicode MS"/>
          <w:color w:val="00B0F0"/>
          <w:lang w:eastAsia="ja-JP"/>
        </w:rPr>
      </w:pPr>
    </w:p>
    <w:p w14:paraId="48216731" w14:textId="41A15AF0" w:rsidR="00F85A82" w:rsidRPr="005F4125" w:rsidRDefault="00E761EC">
      <w:pPr>
        <w:pStyle w:val="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lastRenderedPageBreak/>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80C687" w:themeFill="background1" w:themeFillShade="BF"/>
          </w:tcPr>
          <w:p w14:paraId="743A3109"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80C687" w:themeFill="background1" w:themeFillShade="BF"/>
          </w:tcPr>
          <w:p w14:paraId="77782485" w14:textId="410582EA" w:rsidR="004372A1" w:rsidRPr="005F4125" w:rsidRDefault="00E10E1F"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80C687" w:themeFill="background1" w:themeFillShade="BF"/>
          </w:tcPr>
          <w:p w14:paraId="571E0511"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hint="eastAsia"/>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hint="eastAsia"/>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bl>
    <w:p w14:paraId="2795C7EF" w14:textId="0FF50B2D" w:rsidR="00B21D03" w:rsidRPr="005F4125" w:rsidRDefault="00B21D03" w:rsidP="00B21D03">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the modification period as defined in LTE SC-PTM is reused  for NR MCCH?</w:t>
      </w:r>
    </w:p>
    <w:tbl>
      <w:tblPr>
        <w:tblStyle w:val="af8"/>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621A86">
        <w:tc>
          <w:tcPr>
            <w:tcW w:w="2120" w:type="dxa"/>
            <w:shd w:val="clear" w:color="auto" w:fill="80C687" w:themeFill="background1" w:themeFillShade="BF"/>
          </w:tcPr>
          <w:p w14:paraId="4EBF2A94" w14:textId="77777777" w:rsidR="00B21D03" w:rsidRPr="005F4125" w:rsidRDefault="00B21D03" w:rsidP="00621A8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80C687" w:themeFill="background1" w:themeFillShade="BF"/>
          </w:tcPr>
          <w:p w14:paraId="16D14DF4" w14:textId="77777777" w:rsidR="00B21D03" w:rsidRPr="005F4125" w:rsidRDefault="00B21D03" w:rsidP="00621A86">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80C687" w:themeFill="background1" w:themeFillShade="BF"/>
          </w:tcPr>
          <w:p w14:paraId="76A8497A" w14:textId="77777777" w:rsidR="00B21D03" w:rsidRPr="005F4125" w:rsidRDefault="00B21D03" w:rsidP="00621A8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621A86">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621A86">
        <w:tc>
          <w:tcPr>
            <w:tcW w:w="2120" w:type="dxa"/>
          </w:tcPr>
          <w:p w14:paraId="5B5EA504" w14:textId="1CBFF3C3" w:rsidR="00192FCF" w:rsidRDefault="00192FCF" w:rsidP="00324B2E">
            <w:pPr>
              <w:rPr>
                <w:rFonts w:eastAsia="Arial Unicode MS" w:hAnsi="Arial Unicode MS" w:cs="Arial Unicode MS" w:hint="eastAsia"/>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hint="eastAsia"/>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bl>
    <w:p w14:paraId="540FC4AE" w14:textId="77777777" w:rsidR="00B21D03" w:rsidRPr="005F4125" w:rsidRDefault="00B21D03" w:rsidP="00B21D03">
      <w:pPr>
        <w:spacing w:before="120" w:after="120"/>
        <w:rPr>
          <w:rFonts w:eastAsia="Arial Unicode MS" w:hAnsi="Arial Unicode MS" w:cs="Arial Unicode MS"/>
          <w:lang w:val="en-GB"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SC-MCCH transmission</w:t>
      </w:r>
      <w:r w:rsidR="00E039D8" w:rsidRPr="005F4125">
        <w:rPr>
          <w:rFonts w:eastAsia="Arial Unicode MS" w:hAnsi="Arial Unicode MS" w:cs="Arial Unicode MS"/>
        </w:rPr>
        <w:t xml:space="preserve"> </w:t>
      </w:r>
      <w:r w:rsidR="00E039D8" w:rsidRPr="005F4125">
        <w:rPr>
          <w:rFonts w:eastAsia="Arial Unicode MS" w:hAnsi="Arial Unicode MS" w:cs="Arial Unicode MS"/>
        </w:rPr>
        <w:lastRenderedPageBreak/>
        <w:t>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621A86">
        <w:tc>
          <w:tcPr>
            <w:tcW w:w="2120" w:type="dxa"/>
            <w:shd w:val="clear" w:color="auto" w:fill="80C687" w:themeFill="background1" w:themeFillShade="BF"/>
          </w:tcPr>
          <w:p w14:paraId="107CDD2C" w14:textId="77777777" w:rsidR="00B21D03" w:rsidRPr="005F4125" w:rsidRDefault="00B21D03" w:rsidP="00621A8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80C687" w:themeFill="background1" w:themeFillShade="BF"/>
          </w:tcPr>
          <w:p w14:paraId="213D9284" w14:textId="77777777" w:rsidR="00B21D03" w:rsidRPr="005F4125" w:rsidRDefault="00B21D03" w:rsidP="00621A86">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80C687" w:themeFill="background1" w:themeFillShade="BF"/>
          </w:tcPr>
          <w:p w14:paraId="522A87E7" w14:textId="77777777" w:rsidR="00B21D03" w:rsidRPr="005F4125" w:rsidRDefault="00B21D03" w:rsidP="00621A8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621A86">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621A86">
        <w:tc>
          <w:tcPr>
            <w:tcW w:w="2120" w:type="dxa"/>
          </w:tcPr>
          <w:p w14:paraId="61B973EA" w14:textId="490FAFA3" w:rsidR="00192FCF" w:rsidRDefault="00192FCF" w:rsidP="00324B2E">
            <w:pPr>
              <w:rPr>
                <w:rFonts w:eastAsia="Arial Unicode MS" w:hAnsi="Arial Unicode MS" w:cs="Arial Unicode MS" w:hint="eastAsia"/>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hint="eastAsia"/>
                <w:lang w:eastAsia="zh-CN"/>
              </w:rPr>
            </w:pPr>
            <w:r>
              <w:rPr>
                <w:rFonts w:eastAsia="Arial Unicode MS" w:hAnsi="Arial Unicode MS" w:cs="Arial Unicode MS"/>
                <w:lang w:eastAsia="zh-CN"/>
              </w:rPr>
              <w:t>Yes</w:t>
            </w:r>
            <w:bookmarkStart w:id="11" w:name="_GoBack"/>
            <w:bookmarkEnd w:id="11"/>
          </w:p>
        </w:tc>
        <w:tc>
          <w:tcPr>
            <w:tcW w:w="5659" w:type="dxa"/>
          </w:tcPr>
          <w:p w14:paraId="0BAB0E4C" w14:textId="77777777" w:rsidR="00192FCF" w:rsidRPr="005F4125" w:rsidRDefault="00192FCF" w:rsidP="00324B2E">
            <w:pPr>
              <w:rPr>
                <w:rFonts w:eastAsia="Arial Unicode MS" w:hAnsi="Arial Unicode MS" w:cs="Arial Unicode MS" w:hint="eastAsia"/>
                <w:color w:val="00B0F0"/>
                <w:lang w:eastAsia="ja-JP"/>
              </w:rPr>
            </w:pPr>
          </w:p>
        </w:tc>
      </w:tr>
    </w:tbl>
    <w:p w14:paraId="537D1FFF" w14:textId="77777777" w:rsidR="00FD3273" w:rsidRPr="005F4125" w:rsidRDefault="00FD3273">
      <w:pPr>
        <w:spacing w:before="120"/>
        <w:rPr>
          <w:rFonts w:eastAsia="Arial Unicode MS" w:hAnsi="Arial Unicode MS" w:cs="Arial Unicode MS"/>
          <w:b/>
        </w:rPr>
      </w:pPr>
    </w:p>
    <w:bookmarkEnd w:id="0"/>
    <w:bookmarkEnd w:id="1"/>
    <w:bookmarkEnd w:id="5"/>
    <w:bookmarkEnd w:id="6"/>
    <w:bookmarkEnd w:id="7"/>
    <w:bookmarkEnd w:id="8"/>
    <w:p w14:paraId="495732AB"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5B46F" w14:textId="77777777" w:rsidR="000672CB" w:rsidRDefault="000672CB">
      <w:pPr>
        <w:spacing w:after="0" w:line="240" w:lineRule="auto"/>
      </w:pPr>
      <w:r>
        <w:separator/>
      </w:r>
    </w:p>
  </w:endnote>
  <w:endnote w:type="continuationSeparator" w:id="0">
    <w:p w14:paraId="209E1673" w14:textId="77777777" w:rsidR="000672CB" w:rsidRDefault="000672CB">
      <w:pPr>
        <w:spacing w:after="0" w:line="240" w:lineRule="auto"/>
      </w:pPr>
      <w:r>
        <w:continuationSeparator/>
      </w:r>
    </w:p>
  </w:endnote>
  <w:endnote w:type="continuationNotice" w:id="1">
    <w:p w14:paraId="255A2AEE" w14:textId="77777777" w:rsidR="000672CB" w:rsidRDefault="000672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1"/>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F1C7E" w14:textId="27AFE26F" w:rsidR="00882754" w:rsidRDefault="00882754">
    <w:pPr>
      <w:pStyle w:val="af0"/>
    </w:pPr>
    <w:r>
      <w:fldChar w:fldCharType="begin"/>
    </w:r>
    <w:r>
      <w:instrText xml:space="preserve"> PAGE   \* MERGEFORMAT </w:instrText>
    </w:r>
    <w:r>
      <w:fldChar w:fldCharType="separate"/>
    </w:r>
    <w:r w:rsidR="00EB4B0B">
      <w:rPr>
        <w:noProof/>
      </w:rPr>
      <w:t>1</w:t>
    </w:r>
    <w:r>
      <w:rPr>
        <w:noProof/>
      </w:rPr>
      <w:fldChar w:fldCharType="end"/>
    </w:r>
  </w:p>
  <w:p w14:paraId="7964C7C4" w14:textId="77777777" w:rsidR="00882754" w:rsidRDefault="0088275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EAB6F" w14:textId="77777777" w:rsidR="000672CB" w:rsidRDefault="000672CB">
      <w:pPr>
        <w:spacing w:after="0" w:line="240" w:lineRule="auto"/>
      </w:pPr>
      <w:r>
        <w:separator/>
      </w:r>
    </w:p>
  </w:footnote>
  <w:footnote w:type="continuationSeparator" w:id="0">
    <w:p w14:paraId="7710BECF" w14:textId="77777777" w:rsidR="000672CB" w:rsidRDefault="000672CB">
      <w:pPr>
        <w:spacing w:after="0" w:line="240" w:lineRule="auto"/>
      </w:pPr>
      <w:r>
        <w:continuationSeparator/>
      </w:r>
    </w:p>
  </w:footnote>
  <w:footnote w:type="continuationNotice" w:id="1">
    <w:p w14:paraId="1B6055E5" w14:textId="77777777" w:rsidR="000672CB" w:rsidRDefault="000672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26BA"/>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F1C"/>
    <w:rsid w:val="001D425C"/>
    <w:rsid w:val="001D45CC"/>
    <w:rsid w:val="001D4D88"/>
    <w:rsid w:val="001D4DA8"/>
    <w:rsid w:val="001D4DD2"/>
    <w:rsid w:val="001D4E52"/>
    <w:rsid w:val="001D50CF"/>
    <w:rsid w:val="001D54CA"/>
    <w:rsid w:val="001D56A7"/>
    <w:rsid w:val="001D57C6"/>
    <w:rsid w:val="001D5A20"/>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747"/>
    <w:rsid w:val="00275A54"/>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630D"/>
    <w:rsid w:val="002B6496"/>
    <w:rsid w:val="002B6C56"/>
    <w:rsid w:val="002B7A3A"/>
    <w:rsid w:val="002B7B5D"/>
    <w:rsid w:val="002B7EC0"/>
    <w:rsid w:val="002B7F07"/>
    <w:rsid w:val="002C081E"/>
    <w:rsid w:val="002C0A6C"/>
    <w:rsid w:val="002C0AA0"/>
    <w:rsid w:val="002C1741"/>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2D9F"/>
    <w:rsid w:val="003635ED"/>
    <w:rsid w:val="003642ED"/>
    <w:rsid w:val="00364725"/>
    <w:rsid w:val="00364D48"/>
    <w:rsid w:val="00364EE5"/>
    <w:rsid w:val="00365176"/>
    <w:rsid w:val="00365F4F"/>
    <w:rsid w:val="0036682A"/>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B024D"/>
    <w:rsid w:val="003B0800"/>
    <w:rsid w:val="003B0A3F"/>
    <w:rsid w:val="003B0A81"/>
    <w:rsid w:val="003B1C0C"/>
    <w:rsid w:val="003B20EA"/>
    <w:rsid w:val="003B23AA"/>
    <w:rsid w:val="003B2B5C"/>
    <w:rsid w:val="003B2F0D"/>
    <w:rsid w:val="003B3285"/>
    <w:rsid w:val="003B44E3"/>
    <w:rsid w:val="003B4D65"/>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D68"/>
    <w:rsid w:val="003C23ED"/>
    <w:rsid w:val="003C2544"/>
    <w:rsid w:val="003C2799"/>
    <w:rsid w:val="003C2A12"/>
    <w:rsid w:val="003C2FDC"/>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2A1"/>
    <w:rsid w:val="0043758A"/>
    <w:rsid w:val="0044095F"/>
    <w:rsid w:val="00440973"/>
    <w:rsid w:val="00440DA6"/>
    <w:rsid w:val="00440FD9"/>
    <w:rsid w:val="004410AD"/>
    <w:rsid w:val="004417C5"/>
    <w:rsid w:val="004419EA"/>
    <w:rsid w:val="00441D65"/>
    <w:rsid w:val="00441DBF"/>
    <w:rsid w:val="00441E97"/>
    <w:rsid w:val="0044284C"/>
    <w:rsid w:val="0044294E"/>
    <w:rsid w:val="00442B8C"/>
    <w:rsid w:val="004430A5"/>
    <w:rsid w:val="004436C8"/>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A0C"/>
    <w:rsid w:val="00474A22"/>
    <w:rsid w:val="00474DF7"/>
    <w:rsid w:val="00474FE2"/>
    <w:rsid w:val="004753AE"/>
    <w:rsid w:val="004758E8"/>
    <w:rsid w:val="00475949"/>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20F4"/>
    <w:rsid w:val="004D2160"/>
    <w:rsid w:val="004D2597"/>
    <w:rsid w:val="004D2741"/>
    <w:rsid w:val="004D275C"/>
    <w:rsid w:val="004D29AF"/>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102B"/>
    <w:rsid w:val="00511422"/>
    <w:rsid w:val="00511475"/>
    <w:rsid w:val="00511476"/>
    <w:rsid w:val="005118F0"/>
    <w:rsid w:val="00511FF9"/>
    <w:rsid w:val="00512249"/>
    <w:rsid w:val="0051293C"/>
    <w:rsid w:val="00512DA9"/>
    <w:rsid w:val="00513081"/>
    <w:rsid w:val="005132E3"/>
    <w:rsid w:val="00513950"/>
    <w:rsid w:val="00513C1A"/>
    <w:rsid w:val="00514106"/>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63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921"/>
    <w:rsid w:val="007C2A74"/>
    <w:rsid w:val="007C3054"/>
    <w:rsid w:val="007C344B"/>
    <w:rsid w:val="007C3D01"/>
    <w:rsid w:val="007C4059"/>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2"/>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C24"/>
    <w:rsid w:val="00880CBD"/>
    <w:rsid w:val="00880E09"/>
    <w:rsid w:val="0088112A"/>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891"/>
    <w:rsid w:val="009A7E92"/>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3FBE"/>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02E"/>
    <w:rsid w:val="00B04439"/>
    <w:rsid w:val="00B04F42"/>
    <w:rsid w:val="00B04F5E"/>
    <w:rsid w:val="00B05173"/>
    <w:rsid w:val="00B0561B"/>
    <w:rsid w:val="00B05F5C"/>
    <w:rsid w:val="00B06D47"/>
    <w:rsid w:val="00B072F0"/>
    <w:rsid w:val="00B0748E"/>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201A"/>
    <w:rsid w:val="00B823DF"/>
    <w:rsid w:val="00B82819"/>
    <w:rsid w:val="00B8399A"/>
    <w:rsid w:val="00B83FF2"/>
    <w:rsid w:val="00B842AD"/>
    <w:rsid w:val="00B844C1"/>
    <w:rsid w:val="00B84839"/>
    <w:rsid w:val="00B84BA1"/>
    <w:rsid w:val="00B84F03"/>
    <w:rsid w:val="00B8531E"/>
    <w:rsid w:val="00B85937"/>
    <w:rsid w:val="00B86586"/>
    <w:rsid w:val="00B86BEA"/>
    <w:rsid w:val="00B87CD5"/>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192"/>
    <w:rsid w:val="00C378E8"/>
    <w:rsid w:val="00C37EDC"/>
    <w:rsid w:val="00C407E3"/>
    <w:rsid w:val="00C40C6B"/>
    <w:rsid w:val="00C4101A"/>
    <w:rsid w:val="00C410B0"/>
    <w:rsid w:val="00C4120D"/>
    <w:rsid w:val="00C4151B"/>
    <w:rsid w:val="00C419F3"/>
    <w:rsid w:val="00C41AE4"/>
    <w:rsid w:val="00C41B4B"/>
    <w:rsid w:val="00C4284B"/>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48E"/>
    <w:rsid w:val="00CC17F5"/>
    <w:rsid w:val="00CC252D"/>
    <w:rsid w:val="00CC27EE"/>
    <w:rsid w:val="00CC2D77"/>
    <w:rsid w:val="00CC38C6"/>
    <w:rsid w:val="00CC39AE"/>
    <w:rsid w:val="00CC3F37"/>
    <w:rsid w:val="00CC3F48"/>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B62"/>
    <w:rsid w:val="00DF5BB1"/>
    <w:rsid w:val="00DF5D2B"/>
    <w:rsid w:val="00DF6361"/>
    <w:rsid w:val="00DF6446"/>
    <w:rsid w:val="00DF6DF0"/>
    <w:rsid w:val="00DF7664"/>
    <w:rsid w:val="00DF787A"/>
    <w:rsid w:val="00DF7980"/>
    <w:rsid w:val="00DF7B14"/>
    <w:rsid w:val="00DF7B3C"/>
    <w:rsid w:val="00DF7CD5"/>
    <w:rsid w:val="00E001CD"/>
    <w:rsid w:val="00E00668"/>
    <w:rsid w:val="00E00FAE"/>
    <w:rsid w:val="00E00FB5"/>
    <w:rsid w:val="00E00FC9"/>
    <w:rsid w:val="00E01098"/>
    <w:rsid w:val="00E01156"/>
    <w:rsid w:val="00E020E5"/>
    <w:rsid w:val="00E026C9"/>
    <w:rsid w:val="00E02A0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215"/>
    <w:rsid w:val="00ED657E"/>
    <w:rsid w:val="00ED694A"/>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5B10"/>
    <w:rsid w:val="00EE6583"/>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4011"/>
    <w:rsid w:val="00FC4249"/>
    <w:rsid w:val="00FC46B9"/>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3D615906-F445-454F-81B8-33597767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306EB"/>
    <w:rPr>
      <w:sz w:val="22"/>
      <w:szCs w:val="22"/>
      <w:lang w:eastAsia="zh-TW"/>
    </w:rPr>
  </w:style>
  <w:style w:type="paragraph" w:styleId="1">
    <w:name w:val="heading 1"/>
    <w:next w:val="a0"/>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rsid w:val="00C306EB"/>
    <w:pPr>
      <w:numPr>
        <w:ilvl w:val="1"/>
        <w:numId w:val="0"/>
      </w:numPr>
      <w:pBdr>
        <w:top w:val="none" w:sz="0" w:space="0" w:color="auto"/>
      </w:pBdr>
      <w:spacing w:before="180"/>
      <w:outlineLvl w:val="1"/>
    </w:pPr>
    <w:rPr>
      <w:sz w:val="32"/>
    </w:rPr>
  </w:style>
  <w:style w:type="paragraph" w:styleId="3">
    <w:name w:val="heading 3"/>
    <w:basedOn w:val="2"/>
    <w:next w:val="a0"/>
    <w:link w:val="30"/>
    <w:qFormat/>
    <w:rsid w:val="00C306EB"/>
    <w:pPr>
      <w:numPr>
        <w:ilvl w:val="2"/>
      </w:numPr>
      <w:spacing w:before="120"/>
      <w:outlineLvl w:val="2"/>
    </w:pPr>
    <w:rPr>
      <w:sz w:val="28"/>
    </w:rPr>
  </w:style>
  <w:style w:type="paragraph" w:styleId="4">
    <w:name w:val="heading 4"/>
    <w:basedOn w:val="3"/>
    <w:next w:val="a0"/>
    <w:qFormat/>
    <w:rsid w:val="00C306EB"/>
    <w:pPr>
      <w:numPr>
        <w:ilvl w:val="3"/>
      </w:numPr>
      <w:outlineLvl w:val="3"/>
    </w:pPr>
    <w:rPr>
      <w:sz w:val="24"/>
    </w:rPr>
  </w:style>
  <w:style w:type="paragraph" w:styleId="5">
    <w:name w:val="heading 5"/>
    <w:basedOn w:val="4"/>
    <w:next w:val="a0"/>
    <w:qFormat/>
    <w:rsid w:val="00C306EB"/>
    <w:pPr>
      <w:numPr>
        <w:ilvl w:val="4"/>
      </w:numPr>
      <w:outlineLvl w:val="4"/>
    </w:pPr>
    <w:rPr>
      <w:sz w:val="22"/>
    </w:rPr>
  </w:style>
  <w:style w:type="paragraph" w:styleId="6">
    <w:name w:val="heading 6"/>
    <w:basedOn w:val="H6"/>
    <w:next w:val="a0"/>
    <w:qFormat/>
    <w:rsid w:val="00C306EB"/>
    <w:pPr>
      <w:numPr>
        <w:ilvl w:val="5"/>
      </w:numPr>
      <w:ind w:left="1985" w:hanging="1985"/>
      <w:outlineLvl w:val="5"/>
    </w:pPr>
  </w:style>
  <w:style w:type="paragraph" w:styleId="7">
    <w:name w:val="heading 7"/>
    <w:basedOn w:val="H6"/>
    <w:next w:val="a0"/>
    <w:qFormat/>
    <w:rsid w:val="00C306EB"/>
    <w:pPr>
      <w:numPr>
        <w:ilvl w:val="6"/>
      </w:numPr>
      <w:ind w:left="1985" w:hanging="1985"/>
      <w:outlineLvl w:val="6"/>
    </w:pPr>
  </w:style>
  <w:style w:type="paragraph" w:styleId="8">
    <w:name w:val="heading 8"/>
    <w:basedOn w:val="1"/>
    <w:next w:val="a0"/>
    <w:qFormat/>
    <w:rsid w:val="00C306EB"/>
    <w:pPr>
      <w:numPr>
        <w:ilvl w:val="7"/>
      </w:numPr>
      <w:outlineLvl w:val="7"/>
    </w:pPr>
  </w:style>
  <w:style w:type="paragraph" w:styleId="9">
    <w:name w:val="heading 9"/>
    <w:basedOn w:val="8"/>
    <w:next w:val="a0"/>
    <w:qFormat/>
    <w:rsid w:val="00C306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306EB"/>
    <w:pPr>
      <w:ind w:left="1985" w:hanging="1985"/>
      <w:outlineLvl w:val="9"/>
    </w:pPr>
    <w:rPr>
      <w:sz w:val="20"/>
    </w:rPr>
  </w:style>
  <w:style w:type="paragraph" w:styleId="31">
    <w:name w:val="List 3"/>
    <w:basedOn w:val="20"/>
    <w:rsid w:val="00C306EB"/>
    <w:pPr>
      <w:ind w:left="1135"/>
    </w:pPr>
  </w:style>
  <w:style w:type="paragraph" w:styleId="20">
    <w:name w:val="List 2"/>
    <w:basedOn w:val="a4"/>
    <w:qFormat/>
    <w:rsid w:val="00C306EB"/>
    <w:pPr>
      <w:ind w:left="851"/>
    </w:pPr>
  </w:style>
  <w:style w:type="paragraph" w:styleId="a4">
    <w:name w:val="List"/>
    <w:basedOn w:val="a0"/>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a0"/>
    <w:semiHidden/>
    <w:qFormat/>
    <w:rsid w:val="00C306EB"/>
    <w:pPr>
      <w:ind w:left="2268" w:hanging="2268"/>
    </w:pPr>
  </w:style>
  <w:style w:type="paragraph" w:styleId="TOC6">
    <w:name w:val="toc 6"/>
    <w:basedOn w:val="TOC5"/>
    <w:next w:val="a0"/>
    <w:semiHidden/>
    <w:qFormat/>
    <w:rsid w:val="00C306EB"/>
    <w:pPr>
      <w:ind w:left="1985" w:hanging="1985"/>
    </w:pPr>
  </w:style>
  <w:style w:type="paragraph" w:styleId="TOC5">
    <w:name w:val="toc 5"/>
    <w:basedOn w:val="TOC4"/>
    <w:next w:val="a0"/>
    <w:uiPriority w:val="39"/>
    <w:qFormat/>
    <w:rsid w:val="00C306EB"/>
    <w:pPr>
      <w:ind w:left="1701" w:hanging="1701"/>
    </w:pPr>
  </w:style>
  <w:style w:type="paragraph" w:styleId="TOC4">
    <w:name w:val="toc 4"/>
    <w:basedOn w:val="TOC3"/>
    <w:next w:val="a0"/>
    <w:uiPriority w:val="39"/>
    <w:qFormat/>
    <w:rsid w:val="00C306EB"/>
    <w:pPr>
      <w:ind w:left="1418" w:hanging="1418"/>
    </w:pPr>
  </w:style>
  <w:style w:type="paragraph" w:styleId="TOC3">
    <w:name w:val="toc 3"/>
    <w:basedOn w:val="TOC2"/>
    <w:next w:val="a0"/>
    <w:uiPriority w:val="39"/>
    <w:qFormat/>
    <w:rsid w:val="00C306EB"/>
    <w:pPr>
      <w:ind w:left="1134" w:hanging="1134"/>
    </w:pPr>
  </w:style>
  <w:style w:type="paragraph" w:styleId="TOC2">
    <w:name w:val="toc 2"/>
    <w:basedOn w:val="TOC1"/>
    <w:next w:val="a0"/>
    <w:uiPriority w:val="39"/>
    <w:rsid w:val="00C306EB"/>
    <w:pPr>
      <w:keepNext w:val="0"/>
      <w:spacing w:before="0"/>
      <w:ind w:left="851" w:hanging="851"/>
    </w:pPr>
    <w:rPr>
      <w:sz w:val="20"/>
    </w:rPr>
  </w:style>
  <w:style w:type="paragraph" w:styleId="TOC1">
    <w:name w:val="toc 1"/>
    <w:next w:val="a0"/>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21">
    <w:name w:val="List Number 2"/>
    <w:basedOn w:val="a5"/>
    <w:qFormat/>
    <w:rsid w:val="00C306EB"/>
    <w:pPr>
      <w:ind w:left="851"/>
    </w:pPr>
  </w:style>
  <w:style w:type="paragraph" w:styleId="a5">
    <w:name w:val="List Number"/>
    <w:basedOn w:val="a4"/>
    <w:qFormat/>
    <w:rsid w:val="00C306EB"/>
  </w:style>
  <w:style w:type="paragraph" w:styleId="40">
    <w:name w:val="List Bullet 4"/>
    <w:basedOn w:val="32"/>
    <w:rsid w:val="00C306EB"/>
    <w:pPr>
      <w:ind w:left="1418"/>
    </w:pPr>
  </w:style>
  <w:style w:type="paragraph" w:styleId="32">
    <w:name w:val="List Bullet 3"/>
    <w:basedOn w:val="22"/>
    <w:rsid w:val="00C306EB"/>
    <w:pPr>
      <w:ind w:left="1135"/>
    </w:pPr>
  </w:style>
  <w:style w:type="paragraph" w:styleId="22">
    <w:name w:val="List Bullet 2"/>
    <w:basedOn w:val="a6"/>
    <w:qFormat/>
    <w:rsid w:val="00C306EB"/>
    <w:pPr>
      <w:ind w:left="851"/>
    </w:pPr>
  </w:style>
  <w:style w:type="paragraph" w:styleId="a6">
    <w:name w:val="List Bullet"/>
    <w:basedOn w:val="a4"/>
    <w:qFormat/>
    <w:rsid w:val="00C306EB"/>
  </w:style>
  <w:style w:type="paragraph" w:styleId="a7">
    <w:name w:val="caption"/>
    <w:basedOn w:val="a0"/>
    <w:next w:val="a0"/>
    <w:link w:val="a8"/>
    <w:qFormat/>
    <w:rsid w:val="00C306EB"/>
    <w:pPr>
      <w:spacing w:before="120" w:after="120"/>
    </w:pPr>
    <w:rPr>
      <w:rFonts w:ascii="Times New Roman" w:hAnsi="Times New Roman"/>
      <w:b/>
      <w:sz w:val="20"/>
      <w:szCs w:val="20"/>
      <w:lang w:val="en-GB" w:eastAsia="en-US"/>
    </w:rPr>
  </w:style>
  <w:style w:type="paragraph" w:styleId="a9">
    <w:name w:val="Document Map"/>
    <w:basedOn w:val="a0"/>
    <w:semiHidden/>
    <w:rsid w:val="00C306EB"/>
    <w:pPr>
      <w:shd w:val="clear" w:color="auto" w:fill="000080"/>
    </w:pPr>
    <w:rPr>
      <w:rFonts w:ascii="Tahoma" w:hAnsi="Tahoma"/>
    </w:rPr>
  </w:style>
  <w:style w:type="paragraph" w:styleId="aa">
    <w:name w:val="annotation text"/>
    <w:basedOn w:val="a0"/>
    <w:link w:val="ab"/>
    <w:qFormat/>
    <w:rsid w:val="00C306EB"/>
  </w:style>
  <w:style w:type="paragraph" w:styleId="ac">
    <w:name w:val="Body Text"/>
    <w:basedOn w:val="a0"/>
    <w:link w:val="ad"/>
    <w:rsid w:val="00C306EB"/>
    <w:pPr>
      <w:spacing w:after="180"/>
    </w:pPr>
    <w:rPr>
      <w:rFonts w:ascii="Times New Roman" w:hAnsi="Times New Roman"/>
      <w:sz w:val="20"/>
      <w:szCs w:val="20"/>
      <w:lang w:val="en-GB" w:eastAsia="en-US"/>
    </w:rPr>
  </w:style>
  <w:style w:type="paragraph" w:styleId="ae">
    <w:name w:val="Plain Text"/>
    <w:basedOn w:val="a0"/>
    <w:rsid w:val="00C306EB"/>
    <w:pPr>
      <w:spacing w:after="180"/>
    </w:pPr>
    <w:rPr>
      <w:rFonts w:ascii="Courier New" w:hAnsi="Courier New"/>
      <w:sz w:val="20"/>
      <w:szCs w:val="20"/>
      <w:lang w:val="nb-NO" w:eastAsia="en-US"/>
    </w:rPr>
  </w:style>
  <w:style w:type="paragraph" w:styleId="50">
    <w:name w:val="List Bullet 5"/>
    <w:basedOn w:val="40"/>
    <w:rsid w:val="00C306EB"/>
    <w:pPr>
      <w:ind w:left="1702"/>
    </w:pPr>
  </w:style>
  <w:style w:type="paragraph" w:styleId="TOC8">
    <w:name w:val="toc 8"/>
    <w:basedOn w:val="TOC1"/>
    <w:next w:val="a0"/>
    <w:uiPriority w:val="39"/>
    <w:rsid w:val="00C306EB"/>
    <w:pPr>
      <w:spacing w:before="180"/>
      <w:ind w:left="2693" w:hanging="2693"/>
    </w:pPr>
    <w:rPr>
      <w:b/>
    </w:rPr>
  </w:style>
  <w:style w:type="paragraph" w:styleId="af">
    <w:name w:val="Balloon Text"/>
    <w:basedOn w:val="a0"/>
    <w:semiHidden/>
    <w:qFormat/>
    <w:rsid w:val="00C306EB"/>
    <w:rPr>
      <w:rFonts w:ascii="Tahoma" w:hAnsi="Tahoma" w:cs="Tahoma"/>
      <w:sz w:val="16"/>
      <w:szCs w:val="16"/>
    </w:rPr>
  </w:style>
  <w:style w:type="paragraph" w:styleId="af0">
    <w:name w:val="footer"/>
    <w:basedOn w:val="af1"/>
    <w:link w:val="af2"/>
    <w:uiPriority w:val="99"/>
    <w:qFormat/>
    <w:rsid w:val="00C306EB"/>
    <w:pPr>
      <w:jc w:val="center"/>
    </w:pPr>
    <w:rPr>
      <w:i/>
    </w:rPr>
  </w:style>
  <w:style w:type="paragraph" w:styleId="af1">
    <w:name w:val="header"/>
    <w:link w:val="af3"/>
    <w:rsid w:val="00C306EB"/>
    <w:pPr>
      <w:widowControl w:val="0"/>
    </w:pPr>
    <w:rPr>
      <w:rFonts w:ascii="Arial" w:hAnsi="Arial"/>
      <w:b/>
      <w:sz w:val="18"/>
      <w:szCs w:val="22"/>
      <w:lang w:val="en-GB" w:eastAsia="en-US"/>
    </w:rPr>
  </w:style>
  <w:style w:type="paragraph" w:styleId="af4">
    <w:name w:val="index heading"/>
    <w:basedOn w:val="a0"/>
    <w:next w:val="a0"/>
    <w:semiHidden/>
    <w:rsid w:val="00C306EB"/>
    <w:pPr>
      <w:pBdr>
        <w:top w:val="single" w:sz="12" w:space="0" w:color="auto"/>
      </w:pBdr>
      <w:spacing w:before="360" w:after="240"/>
    </w:pPr>
    <w:rPr>
      <w:b/>
      <w:i/>
      <w:sz w:val="26"/>
    </w:rPr>
  </w:style>
  <w:style w:type="paragraph" w:styleId="af5">
    <w:name w:val="footnote text"/>
    <w:basedOn w:val="a0"/>
    <w:semiHidden/>
    <w:qFormat/>
    <w:rsid w:val="00C306EB"/>
    <w:pPr>
      <w:keepLines/>
      <w:ind w:left="454" w:hanging="454"/>
    </w:pPr>
    <w:rPr>
      <w:rFonts w:ascii="Times New Roman" w:hAnsi="Times New Roman"/>
      <w:sz w:val="16"/>
      <w:szCs w:val="20"/>
      <w:lang w:val="en-GB" w:eastAsia="en-US"/>
    </w:rPr>
  </w:style>
  <w:style w:type="paragraph" w:styleId="51">
    <w:name w:val="List 5"/>
    <w:basedOn w:val="41"/>
    <w:rsid w:val="00C306EB"/>
    <w:pPr>
      <w:ind w:left="1702"/>
    </w:pPr>
  </w:style>
  <w:style w:type="paragraph" w:styleId="41">
    <w:name w:val="List 4"/>
    <w:basedOn w:val="31"/>
    <w:rsid w:val="00C306EB"/>
    <w:pPr>
      <w:ind w:left="1418"/>
    </w:pPr>
  </w:style>
  <w:style w:type="paragraph" w:styleId="TOC9">
    <w:name w:val="toc 9"/>
    <w:basedOn w:val="TOC8"/>
    <w:next w:val="a0"/>
    <w:semiHidden/>
    <w:rsid w:val="00C306EB"/>
    <w:pPr>
      <w:ind w:left="1418" w:hanging="1418"/>
    </w:pPr>
  </w:style>
  <w:style w:type="paragraph" w:styleId="af6">
    <w:name w:val="Normal (Web)"/>
    <w:basedOn w:val="a0"/>
    <w:uiPriority w:val="99"/>
    <w:unhideWhenUsed/>
    <w:rsid w:val="00C306EB"/>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rsid w:val="00C306EB"/>
    <w:pPr>
      <w:keepLines/>
    </w:pPr>
    <w:rPr>
      <w:rFonts w:ascii="Times New Roman" w:hAnsi="Times New Roman"/>
      <w:sz w:val="20"/>
      <w:szCs w:val="20"/>
      <w:lang w:val="en-GB" w:eastAsia="en-US"/>
    </w:rPr>
  </w:style>
  <w:style w:type="paragraph" w:styleId="23">
    <w:name w:val="index 2"/>
    <w:basedOn w:val="10"/>
    <w:next w:val="a0"/>
    <w:semiHidden/>
    <w:qFormat/>
    <w:rsid w:val="00C306EB"/>
    <w:pPr>
      <w:ind w:left="284"/>
    </w:pPr>
  </w:style>
  <w:style w:type="paragraph" w:styleId="af7">
    <w:name w:val="annotation subject"/>
    <w:basedOn w:val="aa"/>
    <w:next w:val="aa"/>
    <w:semiHidden/>
    <w:rsid w:val="00C306EB"/>
    <w:rPr>
      <w:b/>
      <w:bCs/>
    </w:rPr>
  </w:style>
  <w:style w:type="table" w:styleId="af8">
    <w:name w:val="Table Grid"/>
    <w:basedOn w:val="a2"/>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rsid w:val="00C306EB"/>
    <w:rPr>
      <w:color w:val="800080"/>
      <w:u w:val="single"/>
    </w:rPr>
  </w:style>
  <w:style w:type="character" w:styleId="afa">
    <w:name w:val="Hyperlink"/>
    <w:rsid w:val="00C306EB"/>
    <w:rPr>
      <w:color w:val="0000FF"/>
      <w:u w:val="single"/>
    </w:rPr>
  </w:style>
  <w:style w:type="character" w:styleId="afb">
    <w:name w:val="annotation reference"/>
    <w:uiPriority w:val="99"/>
    <w:qFormat/>
    <w:rsid w:val="00C306EB"/>
    <w:rPr>
      <w:sz w:val="16"/>
    </w:rPr>
  </w:style>
  <w:style w:type="character" w:styleId="afc">
    <w:name w:val="footnote reference"/>
    <w:qFormat/>
    <w:rsid w:val="00C306EB"/>
    <w:rPr>
      <w:b/>
      <w:position w:val="6"/>
      <w:sz w:val="16"/>
    </w:rPr>
  </w:style>
  <w:style w:type="paragraph" w:customStyle="1" w:styleId="EQ">
    <w:name w:val="EQ"/>
    <w:basedOn w:val="a0"/>
    <w:next w:val="a0"/>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a0"/>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a0"/>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a0"/>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a0"/>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a4"/>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a0"/>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rsid w:val="00C306EB"/>
  </w:style>
  <w:style w:type="paragraph" w:customStyle="1" w:styleId="B3">
    <w:name w:val="B3"/>
    <w:basedOn w:val="31"/>
    <w:link w:val="B3Char"/>
    <w:qFormat/>
    <w:rsid w:val="00C306EB"/>
  </w:style>
  <w:style w:type="paragraph" w:customStyle="1" w:styleId="B4">
    <w:name w:val="B4"/>
    <w:basedOn w:val="41"/>
    <w:rsid w:val="00C306EB"/>
  </w:style>
  <w:style w:type="paragraph" w:customStyle="1" w:styleId="B5">
    <w:name w:val="B5"/>
    <w:basedOn w:val="51"/>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a0"/>
    <w:rsid w:val="00C306EB"/>
    <w:pPr>
      <w:spacing w:after="180"/>
      <w:ind w:left="851"/>
    </w:pPr>
    <w:rPr>
      <w:rFonts w:ascii="Times New Roman" w:hAnsi="Times New Roman"/>
      <w:sz w:val="20"/>
      <w:szCs w:val="20"/>
      <w:lang w:val="en-GB" w:eastAsia="en-US"/>
    </w:rPr>
  </w:style>
  <w:style w:type="paragraph" w:customStyle="1" w:styleId="INDENT2">
    <w:name w:val="INDENT2"/>
    <w:basedOn w:val="a0"/>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a0"/>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a0"/>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a0"/>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1">
    <w:name w:val="吹き出し1"/>
    <w:basedOn w:val="a0"/>
    <w:semiHidden/>
    <w:qFormat/>
    <w:rsid w:val="00C306EB"/>
    <w:rPr>
      <w:rFonts w:ascii="Tahoma" w:hAnsi="Tahoma" w:cs="MS Mincho"/>
      <w:sz w:val="16"/>
      <w:szCs w:val="16"/>
    </w:rPr>
  </w:style>
  <w:style w:type="paragraph" w:customStyle="1" w:styleId="bullet">
    <w:name w:val="bullet"/>
    <w:basedOn w:val="a0"/>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30">
    <w:name w:val="标题 3 字符"/>
    <w:link w:val="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2">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a0"/>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0"/>
    <w:link w:val="afd"/>
    <w:uiPriority w:val="34"/>
    <w:qFormat/>
    <w:rsid w:val="00C306EB"/>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sid w:val="00C306EB"/>
    <w:rPr>
      <w:rFonts w:asciiTheme="minorHAnsi" w:eastAsia="宋体" w:hAnsiTheme="minorHAnsi"/>
      <w:lang w:val="en-GB" w:eastAsia="en-US"/>
    </w:rPr>
  </w:style>
  <w:style w:type="paragraph" w:customStyle="1" w:styleId="3GPPHeader">
    <w:name w:val="3GPP_Header"/>
    <w:basedOn w:val="a0"/>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sid w:val="00C306EB"/>
    <w:rPr>
      <w:rFonts w:ascii="Arial" w:eastAsia="PMingLiU" w:hAnsi="Arial" w:cs="Arial"/>
      <w:szCs w:val="24"/>
      <w:lang w:eastAsia="zh-CN"/>
    </w:rPr>
  </w:style>
  <w:style w:type="paragraph" w:customStyle="1" w:styleId="Agreement">
    <w:name w:val="Agreement"/>
    <w:basedOn w:val="a0"/>
    <w:next w:val="Doc-text2"/>
    <w:uiPriority w:val="99"/>
    <w:qFormat/>
    <w:rsid w:val="00C306EB"/>
    <w:pPr>
      <w:numPr>
        <w:numId w:val="5"/>
      </w:numPr>
      <w:spacing w:before="60"/>
    </w:pPr>
    <w:rPr>
      <w:rFonts w:ascii="Arial" w:hAnsi="Arial"/>
      <w:b/>
      <w:sz w:val="20"/>
      <w:szCs w:val="24"/>
      <w:lang w:val="en-GB" w:eastAsia="en-GB"/>
    </w:rPr>
  </w:style>
  <w:style w:type="character" w:customStyle="1" w:styleId="af2">
    <w:name w:val="页脚 字符"/>
    <w:link w:val="af0"/>
    <w:uiPriority w:val="99"/>
    <w:qFormat/>
    <w:rsid w:val="00C306EB"/>
    <w:rPr>
      <w:rFonts w:ascii="Arial" w:hAnsi="Arial"/>
      <w:b/>
      <w:i/>
      <w:sz w:val="18"/>
      <w:lang w:val="en-GB" w:eastAsia="en-US"/>
    </w:rPr>
  </w:style>
  <w:style w:type="character" w:customStyle="1" w:styleId="af3">
    <w:name w:val="页眉 字符"/>
    <w:link w:val="af1"/>
    <w:qFormat/>
    <w:rsid w:val="00C306EB"/>
    <w:rPr>
      <w:rFonts w:ascii="Arial" w:hAnsi="Arial"/>
      <w:b/>
      <w:sz w:val="18"/>
      <w:lang w:val="en-GB" w:eastAsia="en-US" w:bidi="ar-SA"/>
    </w:rPr>
  </w:style>
  <w:style w:type="table" w:customStyle="1" w:styleId="110">
    <w:name w:val="グリッド (表) 1 淡色1"/>
    <w:basedOn w:val="a2"/>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a8">
    <w:name w:val="题注 字符"/>
    <w:link w:val="a7"/>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a0"/>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ad">
    <w:name w:val="正文文本 字符"/>
    <w:basedOn w:val="a1"/>
    <w:link w:val="ac"/>
    <w:rsid w:val="00C306EB"/>
    <w:rPr>
      <w:lang w:val="en-GB" w:eastAsia="en-US"/>
    </w:rPr>
  </w:style>
  <w:style w:type="character" w:customStyle="1" w:styleId="ab">
    <w:name w:val="批注文字 字符"/>
    <w:link w:val="aa"/>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afe">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C306EB"/>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uiPriority w:val="99"/>
    <w:qFormat/>
    <w:rsid w:val="00C306EB"/>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C306EB"/>
    <w:rPr>
      <w:rFonts w:ascii="Arial" w:hAnsi="Arial" w:cs="Arial"/>
      <w:b/>
      <w:bCs/>
    </w:rPr>
  </w:style>
  <w:style w:type="paragraph" w:customStyle="1" w:styleId="EmailDiscussion">
    <w:name w:val="EmailDiscussion"/>
    <w:basedOn w:val="a0"/>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668812-4AE2-4755-9FD7-73CB6D90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15</Pages>
  <Words>3686</Words>
  <Characters>21011</Characters>
  <Application>Microsoft Office Word</Application>
  <DocSecurity>0</DocSecurity>
  <Lines>175</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OPPO</cp:lastModifiedBy>
  <cp:revision>2</cp:revision>
  <cp:lastPrinted>2007-12-21T03:58:00Z</cp:lastPrinted>
  <dcterms:created xsi:type="dcterms:W3CDTF">2021-03-11T08:28:00Z</dcterms:created>
  <dcterms:modified xsi:type="dcterms:W3CDTF">2021-03-11T08:28:00Z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ies>
</file>