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62A1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762A17"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762A17"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62A17"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lastRenderedPageBreak/>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lastRenderedPageBreak/>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w:t>
      </w:r>
      <w:r w:rsidR="00C5471F">
        <w:lastRenderedPageBreak/>
        <w:t>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hint="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hint="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lastRenderedPageBreak/>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hint="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hint="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w:t>
            </w:r>
            <w:bookmarkStart w:id="7" w:name="_GoBack"/>
            <w:bookmarkEnd w:id="7"/>
            <w:r w:rsidR="00883C1B">
              <w:rPr>
                <w:lang w:eastAsia="zh-TW"/>
              </w:rPr>
              <w:t>first</w:t>
            </w:r>
            <w:r w:rsidR="005613A5">
              <w:rPr>
                <w:lang w:eastAsia="zh-TW"/>
              </w:rPr>
              <w:t>.</w:t>
            </w:r>
            <w:r w:rsidR="00883C1B">
              <w:rPr>
                <w:lang w:eastAsia="zh-TW"/>
              </w:rPr>
              <w:t>)</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lastRenderedPageBreak/>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lastRenderedPageBreak/>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hint="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bl>
    <w:p w14:paraId="5F534953" w14:textId="77777777" w:rsidR="00435678" w:rsidRDefault="00435678" w:rsidP="00435678"/>
    <w:p w14:paraId="14FC2CF1" w14:textId="5F8AFCD4" w:rsidR="00B447DD" w:rsidRPr="003002FD" w:rsidRDefault="00B447DD">
      <w:pPr>
        <w:pStyle w:val="Heading3"/>
        <w:rPr>
          <w:sz w:val="22"/>
        </w:rPr>
      </w:pPr>
      <w:bookmarkStart w:id="8"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9" w:name="_Ref58860668"/>
      <w:bookmarkEnd w:id="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9"/>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w:t>
            </w:r>
            <w:r>
              <w:rPr>
                <w:rFonts w:eastAsiaTheme="minorEastAsia"/>
                <w:lang w:eastAsia="zh-CN"/>
              </w:rPr>
              <w:t>etails can be studied further.</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10" w:name="_Ref58860670"/>
      <w:r w:rsidRPr="003002FD">
        <w:rPr>
          <w:sz w:val="20"/>
          <w:lang w:val="en-GB"/>
        </w:rPr>
        <w:lastRenderedPageBreak/>
        <w:t>Which node is responsible for configuring the eDRX cycle in</w:t>
      </w:r>
      <w:r w:rsidR="00865FA4" w:rsidRPr="003002FD">
        <w:rPr>
          <w:sz w:val="20"/>
          <w:lang w:val="en-GB"/>
        </w:rPr>
        <w:t xml:space="preserve"> inactive</w:t>
      </w:r>
      <w:bookmarkEnd w:id="10"/>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 xml:space="preserve">an eDRX cycle in RRC-INACTIVE up to the value for the UE's idle mode eDRX cycle as provided by the AMF or up to the maximum value allowed based on the NAS (and SMS) </w:t>
            </w:r>
            <w:r w:rsidRPr="004658EC">
              <w:rPr>
                <w:rStyle w:val="B1Char"/>
              </w:rPr>
              <w:lastRenderedPageBreak/>
              <w:t>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4617E1">
        <w:tc>
          <w:tcPr>
            <w:tcW w:w="1368" w:type="dxa"/>
            <w:tcBorders>
              <w:top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tcBorders>
          </w:tcPr>
          <w:p w14:paraId="6A0E888A" w14:textId="10E34488" w:rsidR="00EB0DD3" w:rsidRDefault="00EB0DD3" w:rsidP="000D0FED">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hint="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A</w:t>
            </w:r>
            <w:r>
              <w:rPr>
                <w:rFonts w:eastAsiaTheme="minorEastAsia"/>
                <w:lang w:eastAsia="zh-CN"/>
              </w:rPr>
              <w:t xml:space="preserve"> common design for </w:t>
            </w:r>
            <w:r w:rsidR="005C0FF3">
              <w:rPr>
                <w:rFonts w:eastAsiaTheme="minorEastAsia"/>
                <w:lang w:eastAsia="zh-CN"/>
              </w:rPr>
              <w:t>RRC</w:t>
            </w:r>
            <w:r w:rsidR="005C0FF3">
              <w:rPr>
                <w:rFonts w:eastAsiaTheme="minorEastAsia"/>
                <w:lang w:eastAsia="zh-CN"/>
              </w:rPr>
              <w:t>_</w:t>
            </w:r>
            <w:r w:rsidR="005C0FF3">
              <w:rPr>
                <w:rFonts w:eastAsiaTheme="minorEastAsia"/>
                <w:lang w:eastAsia="zh-CN"/>
              </w:rPr>
              <w:t>IDLE and RRC</w:t>
            </w:r>
            <w:r w:rsidR="005C0FF3">
              <w:rPr>
                <w:rFonts w:eastAsiaTheme="minorEastAsia"/>
                <w:lang w:eastAsia="zh-CN"/>
              </w:rPr>
              <w:t>_</w:t>
            </w:r>
            <w:r w:rsidR="005C0FF3">
              <w:rPr>
                <w:rFonts w:eastAsiaTheme="minorEastAsia"/>
                <w:lang w:eastAsia="zh-CN"/>
              </w:rPr>
              <w:t>INACTIVE</w:t>
            </w:r>
            <w:r w:rsidR="005C0FF3">
              <w:rPr>
                <w:rFonts w:eastAsiaTheme="minorEastAsia"/>
                <w:lang w:eastAsia="zh-CN"/>
              </w:rPr>
              <w:t xml:space="preserve"> </w:t>
            </w:r>
            <w:r>
              <w:rPr>
                <w:rFonts w:eastAsiaTheme="minorEastAsia"/>
                <w:lang w:eastAsia="zh-CN"/>
              </w:rPr>
              <w:t>is desirable.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lastRenderedPageBreak/>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r>
              <w:rPr>
                <w:lang w:eastAsia="zh-TW"/>
              </w:rPr>
              <w:t>.</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lastRenderedPageBreak/>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7EEC" w14:textId="77777777" w:rsidR="00040656" w:rsidRDefault="00040656">
      <w:r>
        <w:separator/>
      </w:r>
    </w:p>
  </w:endnote>
  <w:endnote w:type="continuationSeparator" w:id="0">
    <w:p w14:paraId="57B6AC4A" w14:textId="77777777" w:rsidR="00040656" w:rsidRDefault="0004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49EB" w14:textId="77777777" w:rsidR="00040656" w:rsidRDefault="00040656">
      <w:r>
        <w:separator/>
      </w:r>
    </w:p>
  </w:footnote>
  <w:footnote w:type="continuationSeparator" w:id="0">
    <w:p w14:paraId="7099C389" w14:textId="77777777" w:rsidR="00040656" w:rsidRDefault="0004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099771EF-5919-4110-A55A-C8C15937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Yunsong Yang</cp:lastModifiedBy>
  <cp:revision>11</cp:revision>
  <cp:lastPrinted>2007-08-28T14:45:00Z</cp:lastPrinted>
  <dcterms:created xsi:type="dcterms:W3CDTF">2021-01-04T19:23:00Z</dcterms:created>
  <dcterms:modified xsi:type="dcterms:W3CDTF">2021-01-04T20:15:00Z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ies>
</file>