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62A1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762A17" w14:paraId="66679275" w14:textId="77777777" w:rsidTr="00757F75">
        <w:tc>
          <w:tcPr>
            <w:tcW w:w="793" w:type="pct"/>
          </w:tcPr>
          <w:p w14:paraId="2D60528C" w14:textId="51399A94" w:rsidR="003B4647" w:rsidRPr="003B4647" w:rsidRDefault="00573D49" w:rsidP="00757F75">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762A17" w14:paraId="4DB60D45" w14:textId="77777777" w:rsidTr="00757F75">
        <w:tc>
          <w:tcPr>
            <w:tcW w:w="793" w:type="pct"/>
          </w:tcPr>
          <w:p w14:paraId="1ADED6BB" w14:textId="2E2C41DC" w:rsidR="00014116" w:rsidRDefault="00014116" w:rsidP="00757F75">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757F75">
        <w:tc>
          <w:tcPr>
            <w:tcW w:w="793" w:type="pct"/>
          </w:tcPr>
          <w:p w14:paraId="031DE01B" w14:textId="30A07AE1" w:rsidR="0091691D" w:rsidRDefault="0091691D" w:rsidP="00757F75">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757F75">
        <w:tc>
          <w:tcPr>
            <w:tcW w:w="793" w:type="pct"/>
          </w:tcPr>
          <w:p w14:paraId="57CAB51D" w14:textId="45581055" w:rsidR="004F3462" w:rsidRDefault="004F3462" w:rsidP="00757F75">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62A17" w14:paraId="68D1CC12" w14:textId="77777777" w:rsidTr="00757F75">
        <w:tc>
          <w:tcPr>
            <w:tcW w:w="793" w:type="pct"/>
          </w:tcPr>
          <w:p w14:paraId="5CCE1727" w14:textId="23EF25D0" w:rsidR="00757F75" w:rsidRPr="00757F75" w:rsidRDefault="00757F75" w:rsidP="00757F75">
            <w:pPr>
              <w:spacing w:before="120"/>
              <w:jc w:val="both"/>
              <w:rPr>
                <w:rFonts w:eastAsia="宋体" w:hint="eastAsia"/>
                <w:lang w:eastAsia="zh-CN"/>
              </w:rPr>
            </w:pPr>
            <w:r>
              <w:rPr>
                <w:rFonts w:eastAsia="宋体"/>
                <w:lang w:eastAsia="zh-CN"/>
              </w:rPr>
              <w:t>Xiaomi</w:t>
            </w:r>
          </w:p>
        </w:tc>
        <w:tc>
          <w:tcPr>
            <w:tcW w:w="4207" w:type="pct"/>
          </w:tcPr>
          <w:p w14:paraId="695B261B" w14:textId="4D3BC115" w:rsidR="00757F75" w:rsidRDefault="00757F75" w:rsidP="00757F75">
            <w:pPr>
              <w:spacing w:before="120"/>
              <w:jc w:val="both"/>
              <w:rPr>
                <w:rFonts w:eastAsiaTheme="minorEastAsia" w:hint="eastAsia"/>
                <w:lang w:val="fr-FR" w:eastAsia="zh-CN"/>
              </w:rPr>
            </w:pPr>
            <w:r>
              <w:rPr>
                <w:rFonts w:eastAsiaTheme="minorEastAsia"/>
                <w:lang w:val="fr-FR" w:eastAsia="zh-CN"/>
              </w:rPr>
              <w:t>Yanhua Li ; liyanhua1@xiaomi.com</w:t>
            </w:r>
          </w:p>
        </w:tc>
      </w:tr>
    </w:tbl>
    <w:p w14:paraId="61BDBBA3" w14:textId="77777777" w:rsidR="003B4647" w:rsidRPr="003B4647" w:rsidRDefault="003B4647" w:rsidP="003B4647">
      <w:pPr>
        <w:pStyle w:val="a1"/>
        <w:rPr>
          <w:lang w:val="fr-FR"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w:t>
      </w:r>
      <w:r>
        <w:lastRenderedPageBreak/>
        <w:t xml:space="preserve">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w:t>
            </w:r>
            <w:r>
              <w:rPr>
                <w:lang w:eastAsia="zh-TW"/>
              </w:rPr>
              <w:lastRenderedPageBreak/>
              <w:t xml:space="preserve">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lastRenderedPageBreak/>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bl>
    <w:p w14:paraId="23DBEE56" w14:textId="6DE968BA" w:rsidR="00CE2D3B" w:rsidRDefault="00CE2D3B" w:rsidP="00CE2D3B"/>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lastRenderedPageBreak/>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w:t>
            </w:r>
            <w:r>
              <w:lastRenderedPageBreak/>
              <w:t xml:space="preserve">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lastRenderedPageBreak/>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hint="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hint="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lastRenderedPageBreak/>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lastRenderedPageBreak/>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hint="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7"/>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lastRenderedPageBreak/>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7"/>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hint="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hint="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bl>
    <w:p w14:paraId="5F534953" w14:textId="77777777" w:rsidR="00435678" w:rsidRDefault="00435678" w:rsidP="00435678"/>
    <w:p w14:paraId="14FC2CF1" w14:textId="5F8AFCD4" w:rsidR="00B447DD" w:rsidRPr="003002FD" w:rsidRDefault="00B447DD">
      <w:pPr>
        <w:pStyle w:val="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eDRX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w:t>
            </w:r>
            <w:r>
              <w:rPr>
                <w:rFonts w:eastAsiaTheme="minorEastAsia"/>
                <w:lang w:eastAsia="zh-CN"/>
              </w:rPr>
              <w:lastRenderedPageBreak/>
              <w:t xml:space="preserve">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hint="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n LTE the eDRX parameters are configured by MME to UE via NAS which is transparent to RAN</w:t>
      </w:r>
      <w:r>
        <w:rPr>
          <w:rFonts w:eastAsia="宋体"/>
          <w:lang w:eastAsia="zh-CN"/>
        </w:rPr>
        <w:t xml:space="preserve">, but in NR, </w:t>
      </w:r>
      <w:r>
        <w:rPr>
          <w:rFonts w:eastAsia="宋体" w:hint="eastAsia"/>
          <w:lang w:eastAsia="zh-CN"/>
        </w:rPr>
        <w:t>the CN and RAN both can trigger the paging according to the eDRX parameters,</w:t>
      </w:r>
      <w:r>
        <w:rPr>
          <w:rFonts w:eastAsia="宋体"/>
          <w:lang w:eastAsia="zh-CN"/>
        </w:rPr>
        <w:t xml:space="preserve"> so both CN and RAN should be aware of the eDRX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F3462">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F3462">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F3462">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F3462">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F3462">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F3462">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F3462">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F3462">
        <w:tc>
          <w:tcPr>
            <w:tcW w:w="1368" w:type="dxa"/>
          </w:tcPr>
          <w:p w14:paraId="51FEA8E5" w14:textId="0E70A003" w:rsidR="00B63FAC" w:rsidRDefault="00B63FAC" w:rsidP="00B63FAC">
            <w:pPr>
              <w:spacing w:before="120"/>
              <w:jc w:val="both"/>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hint="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lastRenderedPageBreak/>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hint="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lastRenderedPageBreak/>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hint="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hint="eastAsia"/>
                <w:lang w:eastAsia="zh-CN"/>
              </w:rPr>
            </w:pPr>
            <w:bookmarkStart w:id="10" w:name="_GoBack"/>
            <w:bookmarkEnd w:id="10"/>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917B" w14:textId="77777777" w:rsidR="003F0082" w:rsidRDefault="003F0082">
      <w:r>
        <w:separator/>
      </w:r>
    </w:p>
  </w:endnote>
  <w:endnote w:type="continuationSeparator" w:id="0">
    <w:p w14:paraId="24EFB16A" w14:textId="77777777" w:rsidR="003F0082" w:rsidRDefault="003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BD9F" w14:textId="77777777" w:rsidR="003F0082" w:rsidRDefault="003F0082">
      <w:r>
        <w:separator/>
      </w:r>
    </w:p>
  </w:footnote>
  <w:footnote w:type="continuationSeparator" w:id="0">
    <w:p w14:paraId="1B5BDF49" w14:textId="77777777" w:rsidR="003F0082" w:rsidRDefault="003F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列表段落 字符,1st level - Bullet List Paragraph 字符,Lettre d'introduction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08248-69F1-48E1-BEAF-6734F6E7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cp:lastModifiedBy>
  <cp:revision>3</cp:revision>
  <cp:lastPrinted>2007-08-28T14:45:00Z</cp:lastPrinted>
  <dcterms:created xsi:type="dcterms:W3CDTF">2020-12-31T07:02:00Z</dcterms:created>
  <dcterms:modified xsi:type="dcterms:W3CDTF">2020-12-31T07:17:00Z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y fmtid="{D5CDD505-2E9C-101B-9397-08002B2CF9AE}" pid="6" name="ContentTypeId">
    <vt:lpwstr>0x010100445FDBF28B9EAC4CA7D16FC43FD6F691</vt:lpwstr>
  </property>
  <property fmtid="{D5CDD505-2E9C-101B-9397-08002B2CF9AE}" pid="7" name="CWM22157de813624455af778270da8528cb">
    <vt:lpwstr>CWMoAYS7E2OTqywyw8Y4fKmTUyvM4XPL+0Z8vmAM310fa9IjRfGD94TB7E9ZsHCTAC4ev1QCOpjay4heNpbjMTWEQ==</vt:lpwstr>
  </property>
</Properties>
</file>