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r>
        <w:rPr>
          <w:rFonts w:eastAsia="SimSun"/>
          <w:bCs/>
          <w:sz w:val="24"/>
          <w:szCs w:val="24"/>
          <w:lang w:eastAsia="zh-CN"/>
        </w:rPr>
        <w:t>Elbonia,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r>
              <w:rPr>
                <w:lang w:eastAsia="zh-CN"/>
              </w:rPr>
              <w:t>Turkcell</w:t>
            </w:r>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816129">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816129">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lastRenderedPageBreak/>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6B6A8B">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 xml:space="preserve">While the information content of all possible formulations might be equivalent, the amount of data needed to encode the information varies. The choice of format should strive to </w:t>
            </w:r>
            <w:r w:rsidRPr="005032A1">
              <w:rPr>
                <w:lang w:eastAsia="zh-CN"/>
              </w:rPr>
              <w:lastRenderedPageBreak/>
              <w:t>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r>
              <w:rPr>
                <w:lang w:eastAsia="zh-CN"/>
              </w:rPr>
              <w:t>Turkcell</w:t>
            </w:r>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r w:rsidR="001829AD" w14:paraId="5A4E4844" w14:textId="77777777" w:rsidTr="00DF5103">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w:t>
            </w:r>
            <w:r w:rsidRPr="003006D7">
              <w:rPr>
                <w:lang w:eastAsia="zh-CN"/>
              </w:rPr>
              <w:lastRenderedPageBreak/>
              <w:t>orbit and ranges from weekly to multiple times a day for satellites on very low orbits which are exposed to strong atmospheric drag and need to perform correctional maneuvers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EA03EA">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w:t>
            </w:r>
            <w:r w:rsidR="00403645">
              <w:rPr>
                <w:lang w:eastAsia="zh-CN"/>
              </w:rPr>
              <w:lastRenderedPageBreak/>
              <w:t>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lastRenderedPageBreak/>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r>
              <w:rPr>
                <w:lang w:eastAsia="zh-CN"/>
              </w:rPr>
              <w:t>Turkcell</w:t>
            </w:r>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AD0616">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lastRenderedPageBreak/>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AD0616">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bl>
    <w:p w14:paraId="0C69A815" w14:textId="77777777" w:rsidR="00893056" w:rsidRDefault="00893056" w:rsidP="00CC11C9"/>
    <w:p w14:paraId="527F10AE" w14:textId="2D9CA360" w:rsidR="00CC11C9" w:rsidRDefault="00CC11C9">
      <w:pPr>
        <w:pStyle w:val="Heading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lastRenderedPageBreak/>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r>
              <w:rPr>
                <w:lang w:eastAsia="zh-CN"/>
              </w:rPr>
              <w:t xml:space="preserve">Turkcell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AD0616">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927D04" w14:paraId="1027593B" w14:textId="77777777" w:rsidTr="00AD0616">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lastRenderedPageBreak/>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bl>
    <w:p w14:paraId="55769C68" w14:textId="529AC2F8" w:rsidR="00342A70" w:rsidRDefault="00DA18F1" w:rsidP="00740776">
      <w:r>
        <w:lastRenderedPageBreak/>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AD0616">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bookmarkStart w:id="0" w:name="_GoBack"/>
      <w:bookmarkEnd w:id="0"/>
    </w:p>
    <w:p w14:paraId="626A9B96" w14:textId="70E313E4" w:rsidR="00302E96" w:rsidRDefault="00CC11C9">
      <w:pPr>
        <w:pStyle w:val="Heading1"/>
      </w:pPr>
      <w:r>
        <w:lastRenderedPageBreak/>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81286"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Pr="009C5DD7"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rsidRPr="009C5DD7"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Pr="009C5DD7" w:rsidRDefault="003C59B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Pr="009C5DD7" w:rsidRDefault="00713BDA" w:rsidP="003805E3">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9C5DD7" w:rsidRDefault="00CF0ECA"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Pr="009C5DD7" w:rsidRDefault="008B75AF"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687A" w14:textId="77777777" w:rsidR="001B5549" w:rsidRDefault="001B5549" w:rsidP="00392087">
      <w:pPr>
        <w:spacing w:after="0" w:line="240" w:lineRule="auto"/>
      </w:pPr>
      <w:r>
        <w:separator/>
      </w:r>
    </w:p>
  </w:endnote>
  <w:endnote w:type="continuationSeparator" w:id="0">
    <w:p w14:paraId="0EA1A7B3" w14:textId="77777777" w:rsidR="001B5549" w:rsidRDefault="001B5549" w:rsidP="00392087">
      <w:pPr>
        <w:spacing w:after="0" w:line="240" w:lineRule="auto"/>
      </w:pPr>
      <w:r>
        <w:continuationSeparator/>
      </w:r>
    </w:p>
  </w:endnote>
  <w:endnote w:type="continuationNotice" w:id="1">
    <w:p w14:paraId="47CA2EAD" w14:textId="77777777" w:rsidR="001B5549" w:rsidRDefault="001B5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A4DC" w14:textId="77777777" w:rsidR="001B5549" w:rsidRDefault="001B5549" w:rsidP="00392087">
      <w:pPr>
        <w:spacing w:after="0" w:line="240" w:lineRule="auto"/>
      </w:pPr>
      <w:r>
        <w:separator/>
      </w:r>
    </w:p>
  </w:footnote>
  <w:footnote w:type="continuationSeparator" w:id="0">
    <w:p w14:paraId="398A56DF" w14:textId="77777777" w:rsidR="001B5549" w:rsidRDefault="001B5549" w:rsidP="00392087">
      <w:pPr>
        <w:spacing w:after="0" w:line="240" w:lineRule="auto"/>
      </w:pPr>
      <w:r>
        <w:continuationSeparator/>
      </w:r>
    </w:p>
  </w:footnote>
  <w:footnote w:type="continuationNotice" w:id="1">
    <w:p w14:paraId="53E1C357" w14:textId="77777777" w:rsidR="001B5549" w:rsidRDefault="001B55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1B0A"/>
    <w:rsid w:val="00094568"/>
    <w:rsid w:val="000949E7"/>
    <w:rsid w:val="000969A1"/>
    <w:rsid w:val="00096A6C"/>
    <w:rsid w:val="000A27F3"/>
    <w:rsid w:val="000A4283"/>
    <w:rsid w:val="000A7E56"/>
    <w:rsid w:val="000B2662"/>
    <w:rsid w:val="000B2D05"/>
    <w:rsid w:val="000B3CEC"/>
    <w:rsid w:val="000B5CA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0288"/>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1413"/>
    <w:rsid w:val="00342A70"/>
    <w:rsid w:val="00347A53"/>
    <w:rsid w:val="00352223"/>
    <w:rsid w:val="0035462D"/>
    <w:rsid w:val="00356F67"/>
    <w:rsid w:val="00361584"/>
    <w:rsid w:val="00362839"/>
    <w:rsid w:val="00362F0B"/>
    <w:rsid w:val="00364B41"/>
    <w:rsid w:val="00364F10"/>
    <w:rsid w:val="00365AA2"/>
    <w:rsid w:val="00367502"/>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27D04"/>
    <w:rsid w:val="00936071"/>
    <w:rsid w:val="00936A22"/>
    <w:rsid w:val="009376CD"/>
    <w:rsid w:val="00940212"/>
    <w:rsid w:val="0094027B"/>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 w:type="character" w:customStyle="1" w:styleId="UnresolvedMention">
    <w:name w:val="Unresolved Mention"/>
    <w:basedOn w:val="DefaultParagraphFont"/>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7CD055E3-7218-4F8A-8361-C2E25734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260</TotalTime>
  <Pages>12</Pages>
  <Words>5360</Words>
  <Characters>30558</Characters>
  <Application>Microsoft Office Word</Application>
  <DocSecurity>0</DocSecurity>
  <Lines>254</Lines>
  <Paragraphs>71</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Nishith Tripathi</cp:lastModifiedBy>
  <cp:revision>79</cp:revision>
  <dcterms:created xsi:type="dcterms:W3CDTF">2020-12-18T16:04:00Z</dcterms:created>
  <dcterms:modified xsi:type="dcterms:W3CDTF">2020-12-23T22:04:00Z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ies>
</file>