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E20D25" w14:paraId="10442CA1" w14:textId="77777777" w:rsidTr="006B6A8B">
        <w:tc>
          <w:tcPr>
            <w:tcW w:w="1980" w:type="dxa"/>
          </w:tcPr>
          <w:p w14:paraId="7CCE9B5B" w14:textId="77777777" w:rsidR="00E20D25" w:rsidRDefault="00E20D25" w:rsidP="00DF5103">
            <w:pPr>
              <w:rPr>
                <w:lang w:eastAsia="zh-CN"/>
              </w:rPr>
            </w:pPr>
          </w:p>
        </w:tc>
        <w:tc>
          <w:tcPr>
            <w:tcW w:w="7651" w:type="dxa"/>
          </w:tcPr>
          <w:p w14:paraId="1D2ADBEF" w14:textId="77777777" w:rsidR="00E20D25" w:rsidRDefault="00E20D25" w:rsidP="00DF5103">
            <w:pPr>
              <w:rPr>
                <w:lang w:eastAsia="zh-CN"/>
              </w:rPr>
            </w:pP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lastRenderedPageBreak/>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as the common part (</w:t>
            </w:r>
            <w:r w:rsidR="00281286">
              <w:rPr>
                <w:lang w:eastAsia="zh-CN"/>
              </w:rPr>
              <w:t xml:space="preserve">e.g. </w:t>
            </w:r>
            <w:r w:rsidR="00281286">
              <w:rPr>
                <w:lang w:eastAsia="zh-CN"/>
              </w:rPr>
              <w:t>orbit plane) that can be pre-provisioned and individual part (</w:t>
            </w:r>
            <w:r w:rsidR="00281286">
              <w:rPr>
                <w:lang w:eastAsia="zh-CN"/>
              </w:rPr>
              <w:t xml:space="preserve">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7777777" w:rsidR="004B7D4F" w:rsidRDefault="004B7D4F" w:rsidP="00DF5103">
            <w:pPr>
              <w:rPr>
                <w:lang w:eastAsia="zh-CN"/>
              </w:rPr>
            </w:pPr>
          </w:p>
        </w:tc>
        <w:tc>
          <w:tcPr>
            <w:tcW w:w="7651" w:type="dxa"/>
          </w:tcPr>
          <w:p w14:paraId="718FAF1E" w14:textId="77777777" w:rsidR="004B7D4F" w:rsidRDefault="004B7D4F" w:rsidP="00DF5103">
            <w:pPr>
              <w:rPr>
                <w:lang w:eastAsia="zh-CN"/>
              </w:rPr>
            </w:pP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lastRenderedPageBreak/>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lastRenderedPageBreak/>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77777777" w:rsidR="00261099" w:rsidRDefault="00261099" w:rsidP="00EA03EA">
            <w:pPr>
              <w:rPr>
                <w:lang w:eastAsia="zh-CN"/>
              </w:rPr>
            </w:pPr>
          </w:p>
        </w:tc>
        <w:tc>
          <w:tcPr>
            <w:tcW w:w="7651" w:type="dxa"/>
          </w:tcPr>
          <w:p w14:paraId="46F0C595" w14:textId="77777777" w:rsidR="00261099" w:rsidRDefault="00261099" w:rsidP="00EA03EA">
            <w:pPr>
              <w:rPr>
                <w:lang w:eastAsia="zh-CN"/>
              </w:rPr>
            </w:pP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lastRenderedPageBreak/>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w:t>
            </w:r>
            <w:r>
              <w:rPr>
                <w:lang w:eastAsia="zh-CN"/>
              </w:rPr>
              <w:t>of neighboring satellites</w:t>
            </w:r>
            <w:r>
              <w:rPr>
                <w:lang w:eastAsia="zh-CN"/>
              </w:rPr>
              <w:t xml:space="preserve"> </w:t>
            </w:r>
            <w:r>
              <w:rPr>
                <w:lang w:eastAsia="zh-CN"/>
              </w:rPr>
              <w:t>can help</w:t>
            </w:r>
            <w:r>
              <w:rPr>
                <w:lang w:eastAsia="zh-CN"/>
              </w:rPr>
              <w:t xml:space="preserve"> </w:t>
            </w:r>
            <w:r>
              <w:rPr>
                <w:lang w:eastAsia="zh-CN"/>
              </w:rPr>
              <w:t>in mobility management and reduce signalling/broadcast overhead</w:t>
            </w:r>
            <w:r>
              <w:rPr>
                <w:lang w:eastAsia="zh-CN"/>
              </w:rPr>
              <w: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w:t>
            </w:r>
            <w:r>
              <w:rPr>
                <w:lang w:eastAsia="zh-CN"/>
              </w:rPr>
              <w:t xml:space="preserve">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w:t>
            </w:r>
            <w:r>
              <w:rPr>
                <w:lang w:eastAsia="zh-CN"/>
              </w:rPr>
              <w:t xml:space="preserve">e.g. </w:t>
            </w:r>
            <w:r>
              <w:rPr>
                <w:lang w:eastAsia="zh-CN"/>
              </w:rPr>
              <w:t>orbit</w:t>
            </w:r>
            <w:r>
              <w:rPr>
                <w:lang w:eastAsia="zh-CN"/>
              </w:rPr>
              <w:t xml:space="preserve"> plane</w:t>
            </w:r>
            <w:r>
              <w:rPr>
                <w:lang w:eastAsia="zh-CN"/>
              </w:rPr>
              <w:t>)</w:t>
            </w:r>
            <w:r>
              <w:rPr>
                <w:lang w:eastAsia="zh-CN"/>
              </w:rPr>
              <w:t xml:space="preserve"> that can be pre-provisioned</w:t>
            </w:r>
            <w:r>
              <w:rPr>
                <w:lang w:eastAsia="zh-CN"/>
              </w:rPr>
              <w:t xml:space="preserve"> and individual part (</w:t>
            </w:r>
            <w:r>
              <w:rPr>
                <w:lang w:eastAsia="zh-CN"/>
              </w:rPr>
              <w:t xml:space="preserve">e.g. </w:t>
            </w:r>
            <w:r w:rsidRPr="00F27781">
              <w:rPr>
                <w:lang w:eastAsia="zh-CN"/>
              </w:rPr>
              <w:t>anomaly</w:t>
            </w:r>
            <w:r>
              <w:rPr>
                <w:lang w:eastAsia="zh-CN"/>
              </w:rPr>
              <w:t xml:space="preserve"> or difference</w:t>
            </w:r>
            <w:r>
              <w:rPr>
                <w:lang w:eastAsia="zh-CN"/>
              </w:rPr>
              <w:t xml:space="preserve"> of </w:t>
            </w:r>
            <w:r>
              <w:rPr>
                <w:lang w:eastAsia="zh-CN"/>
              </w:rPr>
              <w:t xml:space="preserve">satellite </w:t>
            </w:r>
            <w:r>
              <w:rPr>
                <w:lang w:eastAsia="zh-CN"/>
              </w:rPr>
              <w:t xml:space="preserve">level </w:t>
            </w:r>
            <w:r>
              <w:rPr>
                <w:lang w:eastAsia="zh-CN"/>
              </w:rPr>
              <w:t>par</w:t>
            </w:r>
            <w:r>
              <w:rPr>
                <w:lang w:eastAsia="zh-CN"/>
              </w:rPr>
              <w:t>a</w:t>
            </w:r>
            <w:r>
              <w:rPr>
                <w:lang w:eastAsia="zh-CN"/>
              </w:rPr>
              <w:t>meters)</w:t>
            </w:r>
            <w:r>
              <w:rPr>
                <w:lang w:eastAsia="zh-CN"/>
              </w:rPr>
              <w:t xml:space="preserve"> that can be broadcasted/signalled</w:t>
            </w:r>
            <w:r>
              <w:rPr>
                <w:lang w:eastAsia="zh-CN"/>
              </w:rPr>
              <w:t>.</w:t>
            </w:r>
          </w:p>
        </w:tc>
      </w:tr>
      <w:tr w:rsidR="007E131D" w14:paraId="75F04640" w14:textId="77777777" w:rsidTr="00AD0616">
        <w:tc>
          <w:tcPr>
            <w:tcW w:w="1980" w:type="dxa"/>
          </w:tcPr>
          <w:p w14:paraId="32936442" w14:textId="77777777" w:rsidR="007E131D" w:rsidRDefault="007E131D" w:rsidP="00AD0616">
            <w:pPr>
              <w:rPr>
                <w:lang w:eastAsia="zh-CN"/>
              </w:rPr>
            </w:pPr>
          </w:p>
        </w:tc>
        <w:tc>
          <w:tcPr>
            <w:tcW w:w="7651" w:type="dxa"/>
          </w:tcPr>
          <w:p w14:paraId="5B7A17CF" w14:textId="77777777" w:rsidR="007E131D" w:rsidRDefault="007E131D" w:rsidP="00AD0616">
            <w:pPr>
              <w:rPr>
                <w:lang w:eastAsia="zh-CN"/>
              </w:rPr>
            </w:pP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lastRenderedPageBreak/>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w:t>
            </w:r>
            <w:r>
              <w:rPr>
                <w:lang w:eastAsia="zh-CN"/>
              </w:rPr>
              <w:t xml:space="preserve">he information </w:t>
            </w:r>
            <w:r>
              <w:rPr>
                <w:lang w:eastAsia="zh-CN"/>
              </w:rPr>
              <w:t>can be optional.</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77777777" w:rsidR="005B61DA" w:rsidRDefault="005B61DA" w:rsidP="00AD0616">
            <w:pPr>
              <w:rPr>
                <w:lang w:eastAsia="zh-CN"/>
              </w:rPr>
            </w:pPr>
          </w:p>
        </w:tc>
        <w:tc>
          <w:tcPr>
            <w:tcW w:w="7651" w:type="dxa"/>
          </w:tcPr>
          <w:p w14:paraId="47035178" w14:textId="77777777" w:rsidR="005B61DA" w:rsidRDefault="005B61DA" w:rsidP="00AD0616">
            <w:pPr>
              <w:rPr>
                <w:lang w:eastAsia="zh-CN"/>
              </w:rPr>
            </w:pPr>
          </w:p>
        </w:tc>
      </w:tr>
      <w:tr w:rsidR="005B61DA" w14:paraId="06108F38" w14:textId="77777777" w:rsidTr="00AD0616">
        <w:tc>
          <w:tcPr>
            <w:tcW w:w="1980" w:type="dxa"/>
          </w:tcPr>
          <w:p w14:paraId="2EF70FBC" w14:textId="77777777" w:rsidR="005B61DA" w:rsidRDefault="005B61DA" w:rsidP="00AD0616">
            <w:pPr>
              <w:rPr>
                <w:lang w:eastAsia="zh-CN"/>
              </w:rPr>
            </w:pPr>
          </w:p>
        </w:tc>
        <w:tc>
          <w:tcPr>
            <w:tcW w:w="7651" w:type="dxa"/>
          </w:tcPr>
          <w:p w14:paraId="57237371" w14:textId="77777777" w:rsidR="005B61DA" w:rsidRDefault="005B61DA" w:rsidP="00AD0616">
            <w:pPr>
              <w:rPr>
                <w:lang w:eastAsia="zh-CN"/>
              </w:rPr>
            </w:pP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lastRenderedPageBreak/>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bookmarkStart w:id="0" w:name="_GoBack"/>
            <w:bookmarkEnd w:id="0"/>
            <w:r w:rsidRPr="00400ED9">
              <w:rPr>
                <w:lang w:eastAsia="zh-CN"/>
              </w:rPr>
              <w:t xml:space="preserve"> existing NR cell reselection prioritization</w:t>
            </w:r>
            <w:r>
              <w:rPr>
                <w:lang w:eastAsia="zh-CN"/>
              </w:rPr>
              <w:t xml:space="preserve"> shall be the baseline.</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8128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77777777" w:rsidR="00302E96" w:rsidRDefault="00302E96">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1832A4C4" w14:textId="77777777" w:rsidR="00302E96" w:rsidRDefault="00302E96">
            <w:pPr>
              <w:spacing w:after="0"/>
              <w:jc w:val="center"/>
              <w:rPr>
                <w:rFonts w:ascii="Calibri" w:eastAsia="MS Mincho" w:hAnsi="Calibri" w:cs="Calibri"/>
                <w:sz w:val="22"/>
                <w:szCs w:val="22"/>
                <w:lang w:val="de-DE" w:eastAsia="ja-JP"/>
              </w:rPr>
            </w:pP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CCB47DF" w14:textId="77777777" w:rsidR="00302E96" w:rsidRDefault="00302E96">
            <w:pPr>
              <w:spacing w:after="0"/>
              <w:jc w:val="center"/>
              <w:rPr>
                <w:rFonts w:ascii="Calibri" w:eastAsiaTheme="minorEastAsia" w:hAnsi="Calibri" w:cs="Calibri"/>
                <w:sz w:val="22"/>
                <w:szCs w:val="22"/>
                <w:lang w:val="de-DE" w:eastAsia="zh-CN"/>
              </w:rPr>
            </w:pP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Pr="009C5DD7"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C6C0" w14:textId="77777777" w:rsidR="009F546A" w:rsidRDefault="009F546A" w:rsidP="00392087">
      <w:pPr>
        <w:spacing w:after="0" w:line="240" w:lineRule="auto"/>
      </w:pPr>
      <w:r>
        <w:separator/>
      </w:r>
    </w:p>
  </w:endnote>
  <w:endnote w:type="continuationSeparator" w:id="0">
    <w:p w14:paraId="2A2B0DFC" w14:textId="77777777" w:rsidR="009F546A" w:rsidRDefault="009F546A" w:rsidP="00392087">
      <w:pPr>
        <w:spacing w:after="0" w:line="240" w:lineRule="auto"/>
      </w:pPr>
      <w:r>
        <w:continuationSeparator/>
      </w:r>
    </w:p>
  </w:endnote>
  <w:endnote w:type="continuationNotice" w:id="1">
    <w:p w14:paraId="175E03B3" w14:textId="77777777" w:rsidR="009F546A" w:rsidRDefault="009F5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44E5" w14:textId="77777777" w:rsidR="009F546A" w:rsidRDefault="009F546A" w:rsidP="00392087">
      <w:pPr>
        <w:spacing w:after="0" w:line="240" w:lineRule="auto"/>
      </w:pPr>
      <w:r>
        <w:separator/>
      </w:r>
    </w:p>
  </w:footnote>
  <w:footnote w:type="continuationSeparator" w:id="0">
    <w:p w14:paraId="46962AD0" w14:textId="77777777" w:rsidR="009F546A" w:rsidRDefault="009F546A" w:rsidP="00392087">
      <w:pPr>
        <w:spacing w:after="0" w:line="240" w:lineRule="auto"/>
      </w:pPr>
      <w:r>
        <w:continuationSeparator/>
      </w:r>
    </w:p>
  </w:footnote>
  <w:footnote w:type="continuationNotice" w:id="1">
    <w:p w14:paraId="1FE101B1" w14:textId="77777777" w:rsidR="009F546A" w:rsidRDefault="009F54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3295D"/>
    <w:rsid w:val="00033023"/>
    <w:rsid w:val="00033397"/>
    <w:rsid w:val="00035BA9"/>
    <w:rsid w:val="00037218"/>
    <w:rsid w:val="00040095"/>
    <w:rsid w:val="00040B3E"/>
    <w:rsid w:val="00041EB9"/>
    <w:rsid w:val="00042089"/>
    <w:rsid w:val="000432F8"/>
    <w:rsid w:val="000444CE"/>
    <w:rsid w:val="000505FA"/>
    <w:rsid w:val="0005271B"/>
    <w:rsid w:val="0005302F"/>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49E7"/>
    <w:rsid w:val="000969A1"/>
    <w:rsid w:val="00096A6C"/>
    <w:rsid w:val="000A27F3"/>
    <w:rsid w:val="000A4283"/>
    <w:rsid w:val="000A7E56"/>
    <w:rsid w:val="000B2662"/>
    <w:rsid w:val="000B2D05"/>
    <w:rsid w:val="000B3CEC"/>
    <w:rsid w:val="000B5CA8"/>
    <w:rsid w:val="000B7BCF"/>
    <w:rsid w:val="000C2B74"/>
    <w:rsid w:val="000C43F7"/>
    <w:rsid w:val="000C522B"/>
    <w:rsid w:val="000C5B16"/>
    <w:rsid w:val="000D1A9B"/>
    <w:rsid w:val="000D1D78"/>
    <w:rsid w:val="000D285E"/>
    <w:rsid w:val="000D47B5"/>
    <w:rsid w:val="000D58AB"/>
    <w:rsid w:val="000D5A04"/>
    <w:rsid w:val="000D7D42"/>
    <w:rsid w:val="000E142F"/>
    <w:rsid w:val="000E1875"/>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364A"/>
    <w:rsid w:val="002C3A04"/>
    <w:rsid w:val="002C405B"/>
    <w:rsid w:val="002C4840"/>
    <w:rsid w:val="002C6D1E"/>
    <w:rsid w:val="002C718C"/>
    <w:rsid w:val="002C78FB"/>
    <w:rsid w:val="002D0FA2"/>
    <w:rsid w:val="002D10C6"/>
    <w:rsid w:val="002D219E"/>
    <w:rsid w:val="002D48B1"/>
    <w:rsid w:val="002D5D0E"/>
    <w:rsid w:val="002D71D8"/>
    <w:rsid w:val="002E56EF"/>
    <w:rsid w:val="002E6C1A"/>
    <w:rsid w:val="002F0D22"/>
    <w:rsid w:val="003006D7"/>
    <w:rsid w:val="00302E96"/>
    <w:rsid w:val="00304EA1"/>
    <w:rsid w:val="00311B17"/>
    <w:rsid w:val="00312E04"/>
    <w:rsid w:val="0031671D"/>
    <w:rsid w:val="00316A34"/>
    <w:rsid w:val="00316D56"/>
    <w:rsid w:val="003172DC"/>
    <w:rsid w:val="00317758"/>
    <w:rsid w:val="00320740"/>
    <w:rsid w:val="00321232"/>
    <w:rsid w:val="0032292F"/>
    <w:rsid w:val="00323139"/>
    <w:rsid w:val="00325AE3"/>
    <w:rsid w:val="00326069"/>
    <w:rsid w:val="003263F5"/>
    <w:rsid w:val="00333602"/>
    <w:rsid w:val="0033673C"/>
    <w:rsid w:val="0034001E"/>
    <w:rsid w:val="00341413"/>
    <w:rsid w:val="00342A70"/>
    <w:rsid w:val="00352223"/>
    <w:rsid w:val="0035462D"/>
    <w:rsid w:val="00356F67"/>
    <w:rsid w:val="00361584"/>
    <w:rsid w:val="00362839"/>
    <w:rsid w:val="00362F0B"/>
    <w:rsid w:val="00364B41"/>
    <w:rsid w:val="00365AA2"/>
    <w:rsid w:val="00367502"/>
    <w:rsid w:val="00371193"/>
    <w:rsid w:val="0037271F"/>
    <w:rsid w:val="003743B5"/>
    <w:rsid w:val="00375C33"/>
    <w:rsid w:val="00376299"/>
    <w:rsid w:val="003805E3"/>
    <w:rsid w:val="00383096"/>
    <w:rsid w:val="0038545A"/>
    <w:rsid w:val="00387B36"/>
    <w:rsid w:val="00392087"/>
    <w:rsid w:val="00395B8F"/>
    <w:rsid w:val="003A2A4B"/>
    <w:rsid w:val="003A41EF"/>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5ABE"/>
    <w:rsid w:val="0044696B"/>
    <w:rsid w:val="00452A04"/>
    <w:rsid w:val="00454CAF"/>
    <w:rsid w:val="00454DC2"/>
    <w:rsid w:val="00457D9E"/>
    <w:rsid w:val="004644F1"/>
    <w:rsid w:val="00465587"/>
    <w:rsid w:val="00467A99"/>
    <w:rsid w:val="00470E5D"/>
    <w:rsid w:val="00475000"/>
    <w:rsid w:val="00475116"/>
    <w:rsid w:val="00476E5B"/>
    <w:rsid w:val="004771F8"/>
    <w:rsid w:val="00477455"/>
    <w:rsid w:val="004869BC"/>
    <w:rsid w:val="00490B36"/>
    <w:rsid w:val="004A1669"/>
    <w:rsid w:val="004A1F7B"/>
    <w:rsid w:val="004A3639"/>
    <w:rsid w:val="004A48E9"/>
    <w:rsid w:val="004A5F14"/>
    <w:rsid w:val="004B6042"/>
    <w:rsid w:val="004B7D4F"/>
    <w:rsid w:val="004C44D2"/>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2B7D"/>
    <w:rsid w:val="006149FD"/>
    <w:rsid w:val="006173DA"/>
    <w:rsid w:val="006174F9"/>
    <w:rsid w:val="006200AB"/>
    <w:rsid w:val="00620291"/>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682D"/>
    <w:rsid w:val="007B0C48"/>
    <w:rsid w:val="007B18D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45"/>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396F"/>
    <w:rsid w:val="008F3DCD"/>
    <w:rsid w:val="008F496D"/>
    <w:rsid w:val="008F6A0B"/>
    <w:rsid w:val="0090094F"/>
    <w:rsid w:val="0090271F"/>
    <w:rsid w:val="00902DB9"/>
    <w:rsid w:val="0090466A"/>
    <w:rsid w:val="0090476F"/>
    <w:rsid w:val="00906FA5"/>
    <w:rsid w:val="009103ED"/>
    <w:rsid w:val="00913006"/>
    <w:rsid w:val="00915CFC"/>
    <w:rsid w:val="0091660A"/>
    <w:rsid w:val="00916A1C"/>
    <w:rsid w:val="00917EF8"/>
    <w:rsid w:val="00922725"/>
    <w:rsid w:val="00922D99"/>
    <w:rsid w:val="00923655"/>
    <w:rsid w:val="009244E4"/>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509"/>
    <w:rsid w:val="00966196"/>
    <w:rsid w:val="009708E7"/>
    <w:rsid w:val="00970DB3"/>
    <w:rsid w:val="00972118"/>
    <w:rsid w:val="00974BB0"/>
    <w:rsid w:val="0097512A"/>
    <w:rsid w:val="00975966"/>
    <w:rsid w:val="00975BCD"/>
    <w:rsid w:val="009768EF"/>
    <w:rsid w:val="00983B19"/>
    <w:rsid w:val="00983EEA"/>
    <w:rsid w:val="00985F94"/>
    <w:rsid w:val="0099212D"/>
    <w:rsid w:val="00992E37"/>
    <w:rsid w:val="00993336"/>
    <w:rsid w:val="00993E61"/>
    <w:rsid w:val="0099577E"/>
    <w:rsid w:val="009A0AF3"/>
    <w:rsid w:val="009A2ECF"/>
    <w:rsid w:val="009B07CD"/>
    <w:rsid w:val="009B4010"/>
    <w:rsid w:val="009B4BBA"/>
    <w:rsid w:val="009C00D7"/>
    <w:rsid w:val="009C19E9"/>
    <w:rsid w:val="009C2842"/>
    <w:rsid w:val="009C2BBF"/>
    <w:rsid w:val="009C3842"/>
    <w:rsid w:val="009C3D6D"/>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5159"/>
    <w:rsid w:val="00A85940"/>
    <w:rsid w:val="00A87646"/>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2D54"/>
    <w:rsid w:val="00AE4F4D"/>
    <w:rsid w:val="00AE621B"/>
    <w:rsid w:val="00AE6242"/>
    <w:rsid w:val="00AE77E7"/>
    <w:rsid w:val="00AF05D5"/>
    <w:rsid w:val="00AF1CD3"/>
    <w:rsid w:val="00AF3036"/>
    <w:rsid w:val="00AF5CC0"/>
    <w:rsid w:val="00AF6502"/>
    <w:rsid w:val="00AF661C"/>
    <w:rsid w:val="00B0106D"/>
    <w:rsid w:val="00B025CB"/>
    <w:rsid w:val="00B03629"/>
    <w:rsid w:val="00B05380"/>
    <w:rsid w:val="00B05962"/>
    <w:rsid w:val="00B07CA2"/>
    <w:rsid w:val="00B13280"/>
    <w:rsid w:val="00B13B9E"/>
    <w:rsid w:val="00B15449"/>
    <w:rsid w:val="00B16C2F"/>
    <w:rsid w:val="00B206C2"/>
    <w:rsid w:val="00B27303"/>
    <w:rsid w:val="00B27387"/>
    <w:rsid w:val="00B2780C"/>
    <w:rsid w:val="00B27A6B"/>
    <w:rsid w:val="00B36437"/>
    <w:rsid w:val="00B36CDF"/>
    <w:rsid w:val="00B3788E"/>
    <w:rsid w:val="00B40AB5"/>
    <w:rsid w:val="00B40DC6"/>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4CE8"/>
    <w:rsid w:val="00BF5438"/>
    <w:rsid w:val="00C01144"/>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2865"/>
    <w:rsid w:val="00C536DF"/>
    <w:rsid w:val="00C56498"/>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5CA4"/>
    <w:rsid w:val="00C95D54"/>
    <w:rsid w:val="00C9627D"/>
    <w:rsid w:val="00C9630E"/>
    <w:rsid w:val="00CA2069"/>
    <w:rsid w:val="00CA261B"/>
    <w:rsid w:val="00CA26C1"/>
    <w:rsid w:val="00CA3C75"/>
    <w:rsid w:val="00CA3D0C"/>
    <w:rsid w:val="00CA482C"/>
    <w:rsid w:val="00CA4F44"/>
    <w:rsid w:val="00CA654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F0C94"/>
    <w:rsid w:val="00CF0ECA"/>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2474"/>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D0017"/>
    <w:rsid w:val="00ED1255"/>
    <w:rsid w:val="00ED133C"/>
    <w:rsid w:val="00ED3C57"/>
    <w:rsid w:val="00ED4127"/>
    <w:rsid w:val="00ED6390"/>
    <w:rsid w:val="00ED6BAB"/>
    <w:rsid w:val="00ED7C1E"/>
    <w:rsid w:val="00EE0333"/>
    <w:rsid w:val="00EE1F52"/>
    <w:rsid w:val="00EE5107"/>
    <w:rsid w:val="00EE63FD"/>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FA"/>
    <w:rsid w:val="00FB456C"/>
    <w:rsid w:val="00FB4814"/>
    <w:rsid w:val="00FB6DD9"/>
    <w:rsid w:val="00FB7434"/>
    <w:rsid w:val="00FB79C4"/>
    <w:rsid w:val="00FC0970"/>
    <w:rsid w:val="00FC1192"/>
    <w:rsid w:val="00FC3FFB"/>
    <w:rsid w:val="00FC5F74"/>
    <w:rsid w:val="00FD644B"/>
    <w:rsid w:val="00FD72B4"/>
    <w:rsid w:val="00FE251B"/>
    <w:rsid w:val="00FE55DD"/>
    <w:rsid w:val="00FE5E9A"/>
    <w:rsid w:val="00FE7E94"/>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0">
    <w:name w:val="List 2"/>
    <w:basedOn w:val="a7"/>
    <w:qFormat/>
    <w:pPr>
      <w:ind w:left="851"/>
    </w:pPr>
  </w:style>
  <w:style w:type="paragraph" w:styleId="a7">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aliases w:val="header odd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正文文本 字符"/>
    <w:basedOn w:val="a0"/>
    <w:link w:val="af4"/>
    <w:semiHidden/>
    <w:rsid w:val="009C6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AF9C7CBF-D62A-4E7B-A344-31A5B852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269</TotalTime>
  <Pages>9</Pages>
  <Words>3345</Words>
  <Characters>19070</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Min Min13 Xu</cp:lastModifiedBy>
  <cp:revision>8</cp:revision>
  <dcterms:created xsi:type="dcterms:W3CDTF">2020-12-08T12:48:00Z</dcterms:created>
  <dcterms:modified xsi:type="dcterms:W3CDTF">2020-12-18T02:54:00Z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