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r>
              <w:rPr>
                <w:lang w:eastAsia="zh-CN"/>
              </w:rPr>
              <w:t>Turkcell</w:t>
            </w:r>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816129">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816129">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816129">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816129">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816129">
        <w:tc>
          <w:tcPr>
            <w:tcW w:w="1980" w:type="dxa"/>
          </w:tcPr>
          <w:p w14:paraId="305884F0" w14:textId="4475193E" w:rsidR="006D7D9A" w:rsidRDefault="006D7D9A" w:rsidP="006D7D9A">
            <w:pPr>
              <w:rPr>
                <w:rFonts w:hint="eastAsia"/>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rFonts w:hint="eastAsia"/>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rFonts w:hint="eastAsia"/>
                <w:lang w:eastAsia="zh-CN"/>
              </w:rPr>
            </w:pPr>
            <w:r>
              <w:rPr>
                <w:lang w:eastAsia="zh-CN"/>
              </w:rPr>
              <w:t>M</w:t>
            </w:r>
            <w:r>
              <w:rPr>
                <w:rFonts w:eastAsiaTheme="minorEastAsia"/>
                <w:lang w:eastAsia="zh-CN"/>
              </w:rPr>
              <w:t>any parameters could be used to indicate NTN cell implicitly: PLMN ID, ephemeris, Koffset, common TA.</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 xml:space="preserve">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w:t>
            </w:r>
            <w:r>
              <w:rPr>
                <w:lang w:eastAsia="zh-CN"/>
              </w:rPr>
              <w:lastRenderedPageBreak/>
              <w:t>data. In summary, an explicit and compact (i.e., a couple of bits) 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lastRenderedPageBreak/>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816129">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816129">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816129">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816129">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816129">
        <w:tc>
          <w:tcPr>
            <w:tcW w:w="1980" w:type="dxa"/>
          </w:tcPr>
          <w:p w14:paraId="761FFEA9" w14:textId="237684EF" w:rsidR="006D7D9A" w:rsidRDefault="006D7D9A" w:rsidP="006D7D9A">
            <w:pPr>
              <w:rPr>
                <w:rFonts w:hint="eastAsia"/>
                <w:lang w:eastAsia="zh-CN"/>
              </w:rPr>
            </w:pPr>
            <w:r>
              <w:rPr>
                <w:lang w:eastAsia="zh-CN"/>
              </w:rPr>
              <w:t>Spreadtrum</w:t>
            </w:r>
          </w:p>
        </w:tc>
        <w:tc>
          <w:tcPr>
            <w:tcW w:w="1701" w:type="dxa"/>
          </w:tcPr>
          <w:p w14:paraId="44798B5C" w14:textId="14D694C7" w:rsidR="006D7D9A" w:rsidRDefault="006D7D9A" w:rsidP="006D7D9A">
            <w:pPr>
              <w:rPr>
                <w:rFonts w:hint="eastAsia"/>
                <w:lang w:eastAsia="zh-CN"/>
              </w:rPr>
            </w:pPr>
            <w:r>
              <w:rPr>
                <w:lang w:eastAsia="zh-CN"/>
              </w:rPr>
              <w:t>No</w:t>
            </w:r>
          </w:p>
        </w:tc>
        <w:tc>
          <w:tcPr>
            <w:tcW w:w="5950" w:type="dxa"/>
          </w:tcPr>
          <w:p w14:paraId="05E42CE8" w14:textId="07164281" w:rsidR="006D7D9A" w:rsidRDefault="006D7D9A" w:rsidP="006D7D9A">
            <w:pPr>
              <w:rPr>
                <w:rFonts w:hint="eastAsia"/>
                <w:lang w:eastAsia="zh-CN"/>
              </w:rPr>
            </w:pPr>
            <w:r>
              <w:rPr>
                <w:lang w:eastAsia="zh-CN"/>
              </w:rPr>
              <w:t>The ephemeris can indicate it.</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6B6A8B">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6B6A8B">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6B6A8B">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6B6A8B">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6B6A8B">
        <w:tc>
          <w:tcPr>
            <w:tcW w:w="1980" w:type="dxa"/>
          </w:tcPr>
          <w:p w14:paraId="51698FF8" w14:textId="6B902C59" w:rsidR="006D7D9A" w:rsidRDefault="006D7D9A" w:rsidP="006D7D9A">
            <w:pPr>
              <w:rPr>
                <w:rFonts w:hint="eastAsia"/>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rFonts w:hint="eastAsia"/>
                <w:lang w:eastAsia="zh-CN"/>
              </w:rPr>
            </w:pPr>
            <w:r>
              <w:rPr>
                <w:lang w:eastAsia="zh-CN"/>
              </w:rPr>
              <w:t>The ephemeris can indicate it.</w:t>
            </w:r>
          </w:p>
        </w:tc>
      </w:tr>
    </w:tbl>
    <w:p w14:paraId="7E8B4FC9" w14:textId="77777777" w:rsidR="004F6EA8" w:rsidRPr="00361584" w:rsidRDefault="004F6EA8" w:rsidP="00361584"/>
    <w:p w14:paraId="7CBB30D1" w14:textId="645EB191" w:rsidR="00CC11C9" w:rsidRDefault="00CC11C9">
      <w:pPr>
        <w:pStyle w:val="1"/>
      </w:pPr>
      <w:r>
        <w:lastRenderedPageBreak/>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lastRenderedPageBreak/>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lastRenderedPageBreak/>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r>
              <w:rPr>
                <w:lang w:eastAsia="zh-CN"/>
              </w:rPr>
              <w:t>Turkcell</w:t>
            </w:r>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DF5103">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DF5103">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24019E">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24019E">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24019E">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DF5103">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DF5103">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af4"/>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af4"/>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DF5103">
        <w:tc>
          <w:tcPr>
            <w:tcW w:w="1980" w:type="dxa"/>
          </w:tcPr>
          <w:p w14:paraId="4F03D890" w14:textId="7B96442D" w:rsidR="006D7D9A" w:rsidRDefault="006D7D9A" w:rsidP="006D7D9A">
            <w:pPr>
              <w:rPr>
                <w:rFonts w:hint="eastAsia"/>
                <w:lang w:eastAsia="zh-CN"/>
              </w:rPr>
            </w:pPr>
            <w:r>
              <w:rPr>
                <w:rFonts w:hint="eastAsia"/>
                <w:lang w:eastAsia="zh-CN"/>
              </w:rPr>
              <w:t>S</w:t>
            </w:r>
            <w:r>
              <w:rPr>
                <w:lang w:eastAsia="zh-CN"/>
              </w:rPr>
              <w:t>preadtrum</w:t>
            </w:r>
          </w:p>
        </w:tc>
        <w:tc>
          <w:tcPr>
            <w:tcW w:w="7651" w:type="dxa"/>
          </w:tcPr>
          <w:p w14:paraId="6197EF11" w14:textId="4EC25ADF" w:rsidR="006D7D9A" w:rsidRDefault="006D7D9A" w:rsidP="006D7D9A">
            <w:pPr>
              <w:pStyle w:val="af4"/>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lastRenderedPageBreak/>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w:t>
            </w:r>
            <w:r w:rsidRPr="0073278F">
              <w:rPr>
                <w:lang w:eastAsia="zh-CN"/>
              </w:rPr>
              <w:lastRenderedPageBreak/>
              <w:t xml:space="preserve">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lastRenderedPageBreak/>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EA03EA">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EA03EA">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EA03EA">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EA03EA">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EA03EA">
        <w:tc>
          <w:tcPr>
            <w:tcW w:w="1980" w:type="dxa"/>
          </w:tcPr>
          <w:p w14:paraId="2BC20A2C" w14:textId="2BC6D15E" w:rsidR="006D7D9A" w:rsidRDefault="006D7D9A" w:rsidP="006D7D9A">
            <w:pPr>
              <w:rPr>
                <w:rFonts w:hint="eastAsia"/>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 xml:space="preserve">We definitely require high precision ephemeris information for the serving cell for uplink synchronization. The level of details required </w:t>
            </w:r>
            <w:r>
              <w:rPr>
                <w:lang w:eastAsia="zh-CN"/>
              </w:rPr>
              <w:lastRenderedPageBreak/>
              <w:t>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lastRenderedPageBreak/>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r>
              <w:rPr>
                <w:lang w:eastAsia="zh-CN"/>
              </w:rPr>
              <w:t>Turkcell</w:t>
            </w:r>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AD0616">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AD0616">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AD0616">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AD0616">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AD0616">
        <w:tc>
          <w:tcPr>
            <w:tcW w:w="1980" w:type="dxa"/>
          </w:tcPr>
          <w:p w14:paraId="1759A46F" w14:textId="739E52BD" w:rsidR="006D7D9A" w:rsidRDefault="006D7D9A" w:rsidP="006D7D9A">
            <w:pPr>
              <w:rPr>
                <w:rFonts w:hint="eastAsia"/>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rFonts w:hint="eastAsia"/>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w:t>
            </w:r>
            <w:r w:rsidR="00CC6376">
              <w:rPr>
                <w:lang w:eastAsia="zh-CN"/>
              </w:rPr>
              <w:lastRenderedPageBreak/>
              <w:t xml:space="preserve">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AD0616">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AD0616">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24019E">
            <w:pPr>
              <w:rPr>
                <w:lang w:eastAsia="zh-CN"/>
              </w:rPr>
            </w:pPr>
            <w:r>
              <w:rPr>
                <w:rFonts w:hint="eastAsia"/>
                <w:lang w:eastAsia="zh-CN"/>
              </w:rPr>
              <w:t xml:space="preserve">It had better classify the </w:t>
            </w:r>
            <w:bookmarkStart w:id="0" w:name="OLE_LINK5"/>
            <w:bookmarkStart w:id="1" w:name="OLE_LINK6"/>
            <w:r>
              <w:rPr>
                <w:rFonts w:hint="eastAsia"/>
                <w:lang w:eastAsia="zh-CN"/>
              </w:rPr>
              <w:t>ephemeris</w:t>
            </w:r>
            <w:bookmarkEnd w:id="0"/>
            <w:bookmarkEnd w:id="1"/>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AD0616">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rFonts w:hint="eastAsia"/>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lastRenderedPageBreak/>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r>
              <w:rPr>
                <w:lang w:eastAsia="zh-CN"/>
              </w:rPr>
              <w:t xml:space="preserve">Turkcell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w:t>
            </w:r>
            <w:r>
              <w:rPr>
                <w:lang w:eastAsia="zh-CN"/>
              </w:rPr>
              <w:lastRenderedPageBreak/>
              <w:t xml:space="preserve">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AD0616">
        <w:tc>
          <w:tcPr>
            <w:tcW w:w="1980" w:type="dxa"/>
          </w:tcPr>
          <w:p w14:paraId="69521790" w14:textId="36F8EDA4" w:rsidR="00F248ED" w:rsidRDefault="00F248ED" w:rsidP="00F248ED">
            <w:pPr>
              <w:rPr>
                <w:lang w:eastAsia="zh-CN"/>
              </w:rPr>
            </w:pPr>
            <w:r>
              <w:rPr>
                <w:lang w:eastAsia="zh-CN"/>
              </w:rPr>
              <w:lastRenderedPageBreak/>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AD0616">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AD0616">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AD0616">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AD0616">
        <w:tc>
          <w:tcPr>
            <w:tcW w:w="1980" w:type="dxa"/>
          </w:tcPr>
          <w:p w14:paraId="4C826E8E" w14:textId="12BFD4E7" w:rsidR="006D7D9A" w:rsidRDefault="006D7D9A" w:rsidP="006D7D9A">
            <w:pPr>
              <w:rPr>
                <w:rFonts w:hint="eastAsia"/>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rFonts w:hint="eastAsia"/>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rFonts w:hint="eastAsia"/>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 xml:space="preserve">inner area of the cell where neighbor cell measurements are not needed. A pure RSRP-based </w:t>
            </w:r>
            <w:r>
              <w:rPr>
                <w:lang w:eastAsia="zh-CN"/>
              </w:rPr>
              <w:lastRenderedPageBreak/>
              <w:t>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AD0616">
        <w:tc>
          <w:tcPr>
            <w:tcW w:w="1980" w:type="dxa"/>
          </w:tcPr>
          <w:p w14:paraId="342D0E82" w14:textId="13236FDE" w:rsidR="00F248ED" w:rsidRDefault="00F248ED" w:rsidP="00F248ED">
            <w:pPr>
              <w:rPr>
                <w:lang w:eastAsia="zh-CN"/>
              </w:rPr>
            </w:pPr>
            <w:r>
              <w:rPr>
                <w:rFonts w:hint="eastAsia"/>
                <w:lang w:eastAsia="zh-CN"/>
              </w:rPr>
              <w:lastRenderedPageBreak/>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AD0616">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AD0616">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AD0616">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AD0616">
        <w:tc>
          <w:tcPr>
            <w:tcW w:w="1980" w:type="dxa"/>
          </w:tcPr>
          <w:p w14:paraId="4F71CF59" w14:textId="37BC767C" w:rsidR="00920AAC" w:rsidRDefault="00920AAC" w:rsidP="00920AAC">
            <w:pPr>
              <w:rPr>
                <w:rFonts w:hint="eastAsia"/>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rFonts w:hint="eastAsia"/>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rFonts w:hint="eastAsia"/>
                <w:lang w:eastAsia="zh-CN"/>
              </w:rPr>
            </w:pPr>
            <w:r>
              <w:rPr>
                <w:lang w:eastAsia="zh-CN"/>
              </w:rPr>
              <w:t>The existing mechanism shall be baseline.</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6D7D9A"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f1"/>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hint="eastAsia"/>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840720" w:rsidRPr="00A21DD6" w:rsidRDefault="00840720"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840720" w:rsidRDefault="00840720" w:rsidP="008B75AF">
            <w:pPr>
              <w:spacing w:after="0"/>
              <w:jc w:val="center"/>
              <w:rPr>
                <w:rFonts w:ascii="Calibri" w:eastAsia="Malgun Gothic" w:hAnsi="Calibri" w:cs="Calibri"/>
                <w:sz w:val="22"/>
                <w:szCs w:val="22"/>
                <w:lang w:val="de-DE" w:eastAsia="ko-KR"/>
              </w:rPr>
            </w:pPr>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bookmarkStart w:id="2" w:name="_GoBack"/>
      <w:bookmarkEnd w:id="2"/>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3A6C" w14:textId="77777777" w:rsidR="008424B5" w:rsidRDefault="008424B5" w:rsidP="00392087">
      <w:pPr>
        <w:spacing w:after="0" w:line="240" w:lineRule="auto"/>
      </w:pPr>
      <w:r>
        <w:separator/>
      </w:r>
    </w:p>
  </w:endnote>
  <w:endnote w:type="continuationSeparator" w:id="0">
    <w:p w14:paraId="4429D1BE" w14:textId="77777777" w:rsidR="008424B5" w:rsidRDefault="008424B5" w:rsidP="00392087">
      <w:pPr>
        <w:spacing w:after="0" w:line="240" w:lineRule="auto"/>
      </w:pPr>
      <w:r>
        <w:continuationSeparator/>
      </w:r>
    </w:p>
  </w:endnote>
  <w:endnote w:type="continuationNotice" w:id="1">
    <w:p w14:paraId="6DEF196C" w14:textId="77777777" w:rsidR="008424B5" w:rsidRDefault="00842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92F5" w14:textId="77777777" w:rsidR="008424B5" w:rsidRDefault="008424B5" w:rsidP="00392087">
      <w:pPr>
        <w:spacing w:after="0" w:line="240" w:lineRule="auto"/>
      </w:pPr>
      <w:r>
        <w:separator/>
      </w:r>
    </w:p>
  </w:footnote>
  <w:footnote w:type="continuationSeparator" w:id="0">
    <w:p w14:paraId="2B5D5917" w14:textId="77777777" w:rsidR="008424B5" w:rsidRDefault="008424B5" w:rsidP="00392087">
      <w:pPr>
        <w:spacing w:after="0" w:line="240" w:lineRule="auto"/>
      </w:pPr>
      <w:r>
        <w:continuationSeparator/>
      </w:r>
    </w:p>
  </w:footnote>
  <w:footnote w:type="continuationNotice" w:id="1">
    <w:p w14:paraId="3639F003" w14:textId="77777777" w:rsidR="008424B5" w:rsidRDefault="008424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aliases w:val="header odd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正文文本 字符"/>
    <w:basedOn w:val="a0"/>
    <w:link w:val="af4"/>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D3EA1D-F876-4E3B-83A0-712BC60B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16</Pages>
  <Words>6781</Words>
  <Characters>38657</Characters>
  <Application>Microsoft Office Word</Application>
  <DocSecurity>0</DocSecurity>
  <Lines>322</Lines>
  <Paragraphs>90</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Spreadtrum</cp:lastModifiedBy>
  <cp:revision>4</cp:revision>
  <dcterms:created xsi:type="dcterms:W3CDTF">2020-12-29T09:45:00Z</dcterms:created>
  <dcterms:modified xsi:type="dcterms:W3CDTF">2020-12-29T09:51:00Z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ies>
</file>