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952" w:rsidRDefault="0072635B">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#112-e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R2-20yxxxx</w:t>
      </w:r>
    </w:p>
    <w:p w:rsidR="00D55952" w:rsidRDefault="0072635B">
      <w:pPr>
        <w:keepLines/>
        <w:tabs>
          <w:tab w:val="left" w:pos="567"/>
        </w:tabs>
        <w:snapToGrid w:val="0"/>
        <w:spacing w:line="276" w:lineRule="auto"/>
        <w:rPr>
          <w:rFonts w:cs="Arial"/>
          <w:b/>
          <w:bCs/>
          <w:sz w:val="28"/>
          <w:szCs w:val="28"/>
        </w:rPr>
      </w:pPr>
      <w:r>
        <w:rPr>
          <w:rFonts w:eastAsia="宋体" w:cs="Arial"/>
          <w:b/>
          <w:sz w:val="28"/>
          <w:szCs w:val="28"/>
          <w:lang w:eastAsia="en-US"/>
        </w:rPr>
        <w:t>e-Meeting, xx-yy, 2020</w:t>
      </w:r>
      <w:r>
        <w:rPr>
          <w:rFonts w:eastAsia="宋体" w:cs="Arial"/>
          <w:b/>
          <w:sz w:val="28"/>
          <w:szCs w:val="28"/>
          <w:lang w:eastAsia="en-US"/>
        </w:rPr>
        <w:tab/>
      </w:r>
      <w:r>
        <w:rPr>
          <w:rFonts w:cs="Arial"/>
          <w:b/>
          <w:bCs/>
          <w:sz w:val="28"/>
          <w:szCs w:val="28"/>
        </w:rPr>
        <w:tab/>
        <w:t xml:space="preserve">      </w:t>
      </w:r>
      <w:r>
        <w:rPr>
          <w:rFonts w:cs="Arial"/>
          <w:b/>
          <w:bCs/>
          <w:color w:val="9FD3A4" w:themeColor="background1" w:themeShade="D9"/>
          <w:szCs w:val="28"/>
        </w:rPr>
        <w:t xml:space="preserve">   </w:t>
      </w:r>
    </w:p>
    <w:p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xxxx</w:t>
      </w:r>
    </w:p>
    <w:p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D55952" w:rsidRDefault="0072635B">
      <w:pPr>
        <w:pStyle w:val="1"/>
        <w:rPr>
          <w:snapToGrid w:val="0"/>
        </w:rPr>
      </w:pPr>
      <w:r>
        <w:rPr>
          <w:snapToGrid w:val="0"/>
        </w:rPr>
        <w:t>Introduction</w:t>
      </w:r>
    </w:p>
    <w:p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rsidR="00D55952" w:rsidRDefault="00D55952">
      <w:pPr>
        <w:snapToGrid w:val="0"/>
        <w:rPr>
          <w:rFonts w:cs="Arial"/>
          <w:snapToGrid w:val="0"/>
          <w:sz w:val="28"/>
          <w:szCs w:val="28"/>
        </w:rPr>
      </w:pPr>
    </w:p>
    <w:p w:rsidR="00D55952" w:rsidRDefault="0072635B">
      <w:pPr>
        <w:pStyle w:val="EmailDiscussion"/>
      </w:pPr>
      <w:bookmarkStart w:id="2" w:name="_Hlk49421495"/>
      <w:r>
        <w:rPr>
          <w:lang w:val="en-US"/>
        </w:rPr>
        <w:t xml:space="preserve">[Post111-e][925][R17 Small Data] </w:t>
      </w:r>
      <w:bookmarkEnd w:id="2"/>
      <w:r>
        <w:rPr>
          <w:lang w:val="en-US"/>
        </w:rPr>
        <w:t>Agreeable details of RRC-based solution (RACH and CG) (ZTE)</w:t>
      </w:r>
    </w:p>
    <w:p w:rsidR="00D55952" w:rsidRDefault="0072635B">
      <w:pPr>
        <w:pStyle w:val="EmailDiscussion2"/>
        <w:ind w:left="1982"/>
      </w:pPr>
      <w:r>
        <w:t>Scope:</w:t>
      </w:r>
    </w:p>
    <w:p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rsidR="00D55952" w:rsidRDefault="0072635B">
      <w:pPr>
        <w:pStyle w:val="EmailDiscussion2"/>
        <w:ind w:left="1982"/>
      </w:pPr>
      <w:r>
        <w:t>•</w:t>
      </w:r>
      <w:r>
        <w:tab/>
        <w:t>Identify any impacts to other WGs (e.g. RAN1)</w:t>
      </w:r>
    </w:p>
    <w:p w:rsidR="00D55952" w:rsidRDefault="0072635B">
      <w:pPr>
        <w:pStyle w:val="EmailDiscussion2"/>
        <w:ind w:left="1982"/>
      </w:pPr>
      <w:r>
        <w:t>Outcome: Report, Agreeable proposals and identified impacts to other groups</w:t>
      </w:r>
    </w:p>
    <w:p w:rsidR="00D55952" w:rsidRDefault="0072635B">
      <w:pPr>
        <w:pStyle w:val="EmailDiscussion2"/>
        <w:ind w:left="1982"/>
      </w:pPr>
      <w:r>
        <w:t>Deadline: Long</w:t>
      </w:r>
    </w:p>
    <w:p w:rsidR="00D55952" w:rsidRDefault="00D55952">
      <w:pPr>
        <w:snapToGrid w:val="0"/>
        <w:rPr>
          <w:rFonts w:cs="Arial"/>
          <w:b/>
          <w:bCs/>
          <w:snapToGrid w:val="0"/>
          <w:sz w:val="28"/>
          <w:szCs w:val="28"/>
        </w:rPr>
      </w:pPr>
    </w:p>
    <w:p w:rsidR="00D55952" w:rsidRDefault="0072635B">
      <w:pPr>
        <w:snapToGrid w:val="0"/>
        <w:rPr>
          <w:rFonts w:cs="Arial"/>
          <w:b/>
          <w:bCs/>
          <w:snapToGrid w:val="0"/>
        </w:rPr>
      </w:pPr>
      <w:r>
        <w:rPr>
          <w:rFonts w:cs="Arial"/>
          <w:b/>
          <w:bCs/>
          <w:snapToGrid w:val="0"/>
        </w:rPr>
        <w:t xml:space="preserve">Deadline for company comments: </w:t>
      </w:r>
    </w:p>
    <w:p w:rsidR="00D55952" w:rsidRDefault="0072635B">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rsidR="00D55952" w:rsidRDefault="00D55952">
      <w:pPr>
        <w:snapToGrid w:val="0"/>
        <w:rPr>
          <w:rFonts w:cs="Arial"/>
          <w:snapToGrid w:val="0"/>
          <w:sz w:val="20"/>
          <w:szCs w:val="20"/>
        </w:rPr>
      </w:pPr>
    </w:p>
    <w:p w:rsidR="00D55952" w:rsidRDefault="0072635B">
      <w:pPr>
        <w:pStyle w:val="1"/>
        <w:rPr>
          <w:snapToGrid w:val="0"/>
        </w:rPr>
      </w:pPr>
      <w:r>
        <w:rPr>
          <w:snapToGrid w:val="0"/>
        </w:rPr>
        <w:t>Overall procedure for RRC-based small data transmission</w:t>
      </w:r>
    </w:p>
    <w:p w:rsidR="00D55952" w:rsidRDefault="0072635B">
      <w:pPr>
        <w:pStyle w:val="2"/>
        <w:rPr>
          <w:snapToGrid w:val="0"/>
          <w:lang w:val="en-US"/>
        </w:rPr>
      </w:pPr>
      <w:r>
        <w:rPr>
          <w:snapToGrid w:val="0"/>
          <w:lang w:val="en-GB"/>
        </w:rPr>
        <w:t>UE procedure upon moving to INACTIVE</w:t>
      </w:r>
    </w:p>
    <w:p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rsidR="00D55952" w:rsidRDefault="0072635B">
      <w:pPr>
        <w:pStyle w:val="af9"/>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rsidR="00D55952" w:rsidRDefault="0072635B">
      <w:pPr>
        <w:pStyle w:val="af9"/>
        <w:numPr>
          <w:ilvl w:val="0"/>
          <w:numId w:val="4"/>
        </w:numPr>
        <w:snapToGrid w:val="0"/>
        <w:rPr>
          <w:rFonts w:cs="Arial"/>
          <w:snapToGrid w:val="0"/>
          <w:sz w:val="20"/>
          <w:szCs w:val="20"/>
        </w:rPr>
      </w:pPr>
      <w:r>
        <w:rPr>
          <w:rFonts w:cs="Arial"/>
          <w:snapToGrid w:val="0"/>
          <w:sz w:val="20"/>
          <w:szCs w:val="20"/>
        </w:rPr>
        <w:t>RLC entities for SRB1 are reestablished</w:t>
      </w:r>
    </w:p>
    <w:p w:rsidR="00D55952" w:rsidRDefault="0072635B">
      <w:pPr>
        <w:pStyle w:val="af9"/>
        <w:numPr>
          <w:ilvl w:val="0"/>
          <w:numId w:val="4"/>
        </w:numPr>
        <w:snapToGrid w:val="0"/>
        <w:rPr>
          <w:rFonts w:cs="Arial"/>
          <w:snapToGrid w:val="0"/>
          <w:sz w:val="20"/>
          <w:szCs w:val="20"/>
        </w:rPr>
      </w:pPr>
      <w:r>
        <w:rPr>
          <w:rFonts w:cs="Arial"/>
          <w:snapToGrid w:val="0"/>
          <w:sz w:val="20"/>
          <w:szCs w:val="20"/>
        </w:rPr>
        <w:t>All SRBs and DRBs are suspended, except SRB0</w:t>
      </w:r>
    </w:p>
    <w:p w:rsidR="00D55952" w:rsidRDefault="00D55952">
      <w:pPr>
        <w:rPr>
          <w:rFonts w:cs="Arial"/>
          <w:snapToGrid w:val="0"/>
          <w:sz w:val="20"/>
          <w:szCs w:val="20"/>
        </w:rPr>
      </w:pPr>
    </w:p>
    <w:p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etc) compared to RACH, discussion for RACH and is separated for this issue: </w:t>
      </w:r>
    </w:p>
    <w:p w:rsidR="00D55952" w:rsidRDefault="00D55952">
      <w:pPr>
        <w:rPr>
          <w:rFonts w:cs="Arial"/>
          <w:snapToGrid w:val="0"/>
          <w:sz w:val="20"/>
          <w:szCs w:val="20"/>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SRBs and DRBs are suspended except SR0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rsidR="00D55952" w:rsidRDefault="0072635B">
            <w:pPr>
              <w:snapToGrid w:val="0"/>
              <w:rPr>
                <w:rFonts w:cs="Arial"/>
                <w:snapToGrid w:val="0"/>
                <w:sz w:val="20"/>
                <w:szCs w:val="20"/>
              </w:rPr>
            </w:pPr>
            <w:r>
              <w:rPr>
                <w:rFonts w:cs="Arial"/>
                <w:snapToGrid w:val="0"/>
                <w:sz w:val="20"/>
                <w:szCs w:val="20"/>
              </w:rPr>
              <w:t xml:space="preserve">Note that when CG resources are also configured, then the UE doesn’t know whether the CG resources will be valid or not when the RESUME is to be initiated (e.g. there may have been a cell change in the meanwhile etc).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rsidR="00D55952" w:rsidRDefault="00D55952">
            <w:pPr>
              <w:snapToGrid w:val="0"/>
              <w:rPr>
                <w:rFonts w:cs="Arial"/>
                <w:b/>
                <w:bCs/>
                <w:snapToGrid w:val="0"/>
                <w:sz w:val="20"/>
                <w:szCs w:val="20"/>
              </w:rPr>
            </w:pPr>
          </w:p>
        </w:tc>
      </w:tr>
      <w:tr w:rsidR="007E4840">
        <w:tc>
          <w:tcPr>
            <w:tcW w:w="1555" w:type="dxa"/>
          </w:tcPr>
          <w:p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rsidR="007E4840" w:rsidRDefault="007E4840">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rsidR="001B5053" w:rsidRDefault="001B5053" w:rsidP="001B5053">
            <w:pPr>
              <w:snapToGrid w:val="0"/>
              <w:rPr>
                <w:rFonts w:cs="Arial"/>
                <w:b/>
                <w:bCs/>
                <w:snapToGrid w:val="0"/>
                <w:sz w:val="20"/>
                <w:szCs w:val="20"/>
              </w:rPr>
            </w:pPr>
          </w:p>
        </w:tc>
      </w:tr>
    </w:tbl>
    <w:p w:rsidR="00D55952" w:rsidRDefault="00D55952">
      <w:pPr>
        <w:pStyle w:val="2"/>
        <w:numPr>
          <w:ilvl w:val="0"/>
          <w:numId w:val="0"/>
        </w:numPr>
        <w:ind w:left="576" w:hanging="576"/>
        <w:rPr>
          <w:snapToGrid w:val="0"/>
          <w:lang w:val="en-GB"/>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MAC reset and default MAC cell group released (please comment on handling of TAT – e.g. whether the current TAT can be run in INACTIVE state or a new timer is needed and whether some MAC configuration specific to CG will need to be stored etc)</w:t>
            </w:r>
          </w:p>
          <w:p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SRBs and DRBs are suspended except SR0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rsidR="00D55952" w:rsidRDefault="0072635B">
            <w:pPr>
              <w:pStyle w:val="af9"/>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rsidR="00D55952" w:rsidRDefault="0072635B">
            <w:pPr>
              <w:pStyle w:val="af9"/>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in  the CG configuration and keep the actions when MAC is reset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for CG based SDT and for the timing alignment, a new timer as clarified by Mediatek is preferred to avoid the impact on current TA timer.</w:t>
            </w:r>
          </w:p>
        </w:tc>
        <w:tc>
          <w:tcPr>
            <w:tcW w:w="4814" w:type="dxa"/>
          </w:tcPr>
          <w:p w:rsidR="001B5053" w:rsidRDefault="001B5053" w:rsidP="001B5053">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p w:rsidR="00D55952" w:rsidRDefault="0072635B">
      <w:pPr>
        <w:pStyle w:val="2"/>
        <w:rPr>
          <w:snapToGrid w:val="0"/>
          <w:lang w:val="en-GB"/>
        </w:rPr>
      </w:pPr>
      <w:r>
        <w:rPr>
          <w:snapToGrid w:val="0"/>
          <w:lang w:val="en-GB"/>
        </w:rPr>
        <w:t>UE procedure upon initiating small data transmission</w:t>
      </w:r>
    </w:p>
    <w:p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rsidR="001B5053" w:rsidRDefault="001B5053" w:rsidP="001B5053">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pStyle w:val="2"/>
        <w:rPr>
          <w:snapToGrid w:val="0"/>
          <w:lang w:val="en-GB"/>
        </w:rPr>
      </w:pPr>
      <w:r>
        <w:rPr>
          <w:snapToGrid w:val="0"/>
          <w:lang w:val="en-GB"/>
        </w:rPr>
        <w:t>Handling of user plane and contents of first UL message</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rPr>
          <w:sz w:val="20"/>
          <w:szCs w:val="20"/>
          <w:lang w:val="en-GB" w:eastAsia="zh-CN"/>
        </w:rPr>
      </w:pPr>
    </w:p>
    <w:p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r>
        <w:rPr>
          <w:i/>
          <w:iCs/>
          <w:sz w:val="20"/>
          <w:szCs w:val="20"/>
          <w:lang w:val="en-GB" w:eastAsia="zh-CN"/>
        </w:rPr>
        <w:t>RRCResume</w:t>
      </w:r>
      <w:r>
        <w:rPr>
          <w:sz w:val="20"/>
          <w:szCs w:val="20"/>
          <w:lang w:val="en-GB" w:eastAsia="zh-CN"/>
        </w:rPr>
        <w:t xml:space="preserve"> message from the network. In case of small data, the intention is to also include user plane data in the first uplink message (i.e. before RRCResume is received by the UE). In order to be able to do this, the UE shall also re-establish and resume the DRBs which are subject to small data transmission per the agreement above. The following question is to confirm this understanding: </w:t>
      </w:r>
    </w:p>
    <w:p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RRCResume message). The data from these DRBs then can be submitted by PDCP to the MAC layer. </w:t>
            </w:r>
          </w:p>
          <w:p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rsidR="00D55952" w:rsidRDefault="0072635B">
            <w:pPr>
              <w:snapToGrid w:val="0"/>
              <w:rPr>
                <w:rFonts w:eastAsia="宋体" w:cs="Arial"/>
                <w:snapToGrid w:val="0"/>
                <w:sz w:val="20"/>
                <w:szCs w:val="20"/>
                <w:highlight w:val="green"/>
                <w:lang w:eastAsia="zh-CN"/>
              </w:rPr>
            </w:pPr>
            <w:r>
              <w:rPr>
                <w:rFonts w:cs="Arial"/>
                <w:snapToGrid w:val="0"/>
                <w:sz w:val="20"/>
                <w:szCs w:val="20"/>
                <w:lang w:eastAsia="zh-CN"/>
              </w:rPr>
              <w:t>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varaibles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rsidR="00D55952" w:rsidRDefault="0072635B">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RRCResume message is received. For SDT, only DRBs configured with SDT should be resumed together with SRB1when RRCResumeRequest message is to be transmitted. </w:t>
            </w:r>
          </w:p>
          <w:p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RRCRelease message with suspendConfig. UE resumes DRBs when SDT in INACTIVE is initiated.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RRC_inactived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transimit </w:t>
            </w:r>
            <w:r w:rsidRPr="0072635B">
              <w:rPr>
                <w:rFonts w:eastAsiaTheme="minorEastAsia" w:cs="Arial"/>
                <w:snapToGrid w:val="0"/>
                <w:sz w:val="20"/>
                <w:szCs w:val="20"/>
                <w:lang w:eastAsia="zh-CN"/>
              </w:rPr>
              <w:t>RRCResume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rsidR="001B5053" w:rsidRDefault="001B5053" w:rsidP="001B5053">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rsidR="00D55952" w:rsidRDefault="00D55952">
      <w:pPr>
        <w:rPr>
          <w:sz w:val="20"/>
          <w:szCs w:val="20"/>
          <w:lang w:val="en-GB" w:eastAsia="zh-CN"/>
        </w:rPr>
      </w:pPr>
    </w:p>
    <w:p w:rsidR="00D55952" w:rsidRDefault="00D55952">
      <w:pPr>
        <w:pStyle w:val="af9"/>
        <w:numPr>
          <w:ilvl w:val="0"/>
          <w:numId w:val="5"/>
        </w:num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CCCH message (i.e. RRCResumeRequest)</w:t>
            </w:r>
          </w:p>
          <w:p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rsidR="00D55952" w:rsidRDefault="0072635B">
            <w:pPr>
              <w:pStyle w:val="af9"/>
              <w:numPr>
                <w:ilvl w:val="0"/>
                <w:numId w:val="5"/>
              </w:numPr>
              <w:snapToGrid w:val="0"/>
              <w:rPr>
                <w:rFonts w:cs="Arial"/>
                <w:b/>
                <w:bCs/>
                <w:snapToGrid w:val="0"/>
                <w:sz w:val="20"/>
                <w:szCs w:val="20"/>
              </w:rPr>
            </w:pPr>
            <w:r>
              <w:rPr>
                <w:rFonts w:cs="Arial"/>
                <w:b/>
                <w:bCs/>
                <w:snapToGrid w:val="0"/>
                <w:sz w:val="20"/>
                <w:szCs w:val="20"/>
              </w:rPr>
              <w:t>MAC CEs (e.g. BSR)</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RRCResumeRequest message. Some elements of RRCResumeRequest message may need to be included, e.g. I-RNTI and shortMAC-I, but the CCCH message may be different from the RRCResumeRequest message. Whether to reuse RRCResumeRequest message needs more discussion.</w:t>
            </w:r>
          </w:p>
          <w:p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SDT;MAC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2"/>
        <w:rPr>
          <w:snapToGrid w:val="0"/>
          <w:lang w:val="en-GB"/>
        </w:rPr>
      </w:pPr>
      <w:r>
        <w:rPr>
          <w:snapToGrid w:val="0"/>
          <w:lang w:val="en-GB"/>
        </w:rPr>
        <w:t>Security framework</w:t>
      </w:r>
    </w:p>
    <w:p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r>
        <w:rPr>
          <w:i/>
          <w:iCs/>
          <w:sz w:val="20"/>
          <w:szCs w:val="20"/>
          <w:lang w:val="en-GB" w:eastAsia="zh-CN"/>
        </w:rPr>
        <w:t>ResumeRequest</w:t>
      </w:r>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RRCResumeRequest message (specifically the ResumeMAC-I) is generated using the stored security context – i.e same as Rel-16.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RRCRelease message with suspendConfig which sent UE to INACTIVE. UL data in Msg3 is integrity protected and ciphered using newly derived key. Old integrity key is used to generate ResuemMAC-I.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For UE authentication purpose, ResumeMAC-I is needed.</w:t>
            </w:r>
            <w:r>
              <w:rPr>
                <w:rFonts w:cs="Arial"/>
                <w:snapToGrid w:val="0"/>
                <w:sz w:val="20"/>
                <w:szCs w:val="20"/>
              </w:rPr>
              <w:t xml:space="preserve"> However, it is not correct to say that the RRC message is the RRCResumerequest message.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RRCRelease message and uses the new keys for the data transmission which happens after the reception of RRCResume message. However, in case of small data transmission, the DRB data may already be included in the first UL message per the discussion above. So, the question is whether the new keys can be generated and used for the data that is included in the first UL message. </w:t>
      </w:r>
    </w:p>
    <w:p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RRCRelease message (i.e. same as legacy procedure) and these new keys are used for generating the data of DRBs that are configured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bl>
    <w:p w:rsidR="00D55952" w:rsidRDefault="0072635B">
      <w:pPr>
        <w:pStyle w:val="2"/>
        <w:rPr>
          <w:snapToGrid w:val="0"/>
          <w:lang w:val="en-GB"/>
        </w:rPr>
      </w:pPr>
      <w:r>
        <w:rPr>
          <w:snapToGrid w:val="0"/>
          <w:lang w:val="en-GB"/>
        </w:rPr>
        <w:t xml:space="preserve">Subsequent data transmission </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ind w:left="432"/>
        <w:rPr>
          <w:i/>
          <w:iCs/>
          <w:sz w:val="20"/>
          <w:szCs w:val="20"/>
          <w:highlight w:val="yellow"/>
          <w:lang w:val="en-GB" w:eastAsia="zh-CN"/>
        </w:rPr>
      </w:pPr>
    </w:p>
    <w:p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rsidR="00D55952" w:rsidRDefault="00D55952">
      <w:pPr>
        <w:rPr>
          <w:i/>
          <w:iCs/>
          <w:sz w:val="20"/>
          <w:szCs w:val="20"/>
          <w:lang w:val="en-GB" w:eastAsia="zh-CN"/>
        </w:rPr>
      </w:pPr>
    </w:p>
    <w:p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rsidR="00D55952" w:rsidRDefault="00D55952">
            <w:pPr>
              <w:snapToGrid w:val="0"/>
              <w:rPr>
                <w:rFonts w:cs="Arial"/>
                <w:snapToGrid w:val="0"/>
                <w:sz w:val="20"/>
                <w:szCs w:val="20"/>
              </w:rPr>
            </w:pPr>
          </w:p>
          <w:p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RRCResume message in DL (i.e. no further discussion is needed on this aspect). Companies can comment on this understanding too.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rsidR="00D55952" w:rsidRDefault="0072635B">
            <w:pPr>
              <w:pStyle w:val="af9"/>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rsidR="00D55952" w:rsidRDefault="0072635B">
            <w:pPr>
              <w:pStyle w:val="af9"/>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this can be one of the options to schedule the UL grant for subsequent transmission. We can also study the method to schedule the UL grant together with the contention resolution indication addressed by TC-RNTI or MsgB-RNTI.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RRC_connected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RRC_connnected and monitor C-RNTI; if no contention resolution is received from network, UE remains in RRC_inactived.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rsidR="00D55952" w:rsidRDefault="00D55952">
      <w:pPr>
        <w:rPr>
          <w:sz w:val="20"/>
          <w:szCs w:val="20"/>
          <w:lang w:val="en-GB" w:eastAsia="zh-CN"/>
        </w:rPr>
      </w:pPr>
    </w:p>
    <w:p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宋体"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宋体"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RRC_inactive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rsidR="001B5053" w:rsidRDefault="001B5053" w:rsidP="001B5053">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pStyle w:val="1"/>
        <w:rPr>
          <w:snapToGrid w:val="0"/>
        </w:rPr>
      </w:pPr>
      <w:r>
        <w:rPr>
          <w:snapToGrid w:val="0"/>
        </w:rPr>
        <w:t>Other aspects with potential impact to other WGs</w:t>
      </w:r>
    </w:p>
    <w:p w:rsidR="00D55952" w:rsidRDefault="0072635B">
      <w:pPr>
        <w:pStyle w:val="2"/>
        <w:rPr>
          <w:snapToGrid w:val="0"/>
          <w:lang w:val="en-GB"/>
        </w:rPr>
      </w:pPr>
      <w:r>
        <w:rPr>
          <w:snapToGrid w:val="0"/>
          <w:lang w:val="en-GB"/>
        </w:rPr>
        <w:t>Resource configuration</w:t>
      </w:r>
    </w:p>
    <w:p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rsidR="00D55952" w:rsidRDefault="00D55952">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rsidR="00D55952" w:rsidRDefault="0072635B">
            <w:pPr>
              <w:pStyle w:val="af9"/>
              <w:numPr>
                <w:ilvl w:val="0"/>
                <w:numId w:val="5"/>
              </w:numPr>
              <w:snapToGrid w:val="0"/>
              <w:rPr>
                <w:rFonts w:eastAsia="宋体" w:cs="Arial"/>
                <w:b/>
                <w:bCs/>
                <w:snapToGrid w:val="0"/>
                <w:sz w:val="20"/>
                <w:szCs w:val="20"/>
                <w:lang w:eastAsia="zh-CN"/>
              </w:rPr>
            </w:pPr>
            <w:r>
              <w:rPr>
                <w:rFonts w:eastAsia="宋体" w:cs="Arial"/>
                <w:b/>
                <w:bCs/>
                <w:snapToGrid w:val="0"/>
                <w:sz w:val="20"/>
                <w:szCs w:val="20"/>
                <w:lang w:eastAsia="zh-CN"/>
              </w:rPr>
              <w:t>Shared RACH resources between SDT and non-SDT</w:t>
            </w:r>
          </w:p>
          <w:p w:rsidR="00D55952" w:rsidRDefault="0072635B">
            <w:pPr>
              <w:pStyle w:val="af9"/>
              <w:numPr>
                <w:ilvl w:val="0"/>
                <w:numId w:val="5"/>
              </w:numPr>
              <w:snapToGrid w:val="0"/>
              <w:rPr>
                <w:rFonts w:eastAsia="宋体" w:cs="Arial"/>
                <w:b/>
                <w:bCs/>
                <w:snapToGrid w:val="0"/>
                <w:sz w:val="20"/>
                <w:szCs w:val="20"/>
                <w:lang w:eastAsia="zh-CN"/>
              </w:rPr>
            </w:pPr>
            <w:r>
              <w:rPr>
                <w:rFonts w:eastAsia="宋体" w:cs="Arial"/>
                <w:b/>
                <w:bCs/>
                <w:snapToGrid w:val="0"/>
                <w:sz w:val="20"/>
                <w:szCs w:val="20"/>
                <w:lang w:eastAsia="zh-CN"/>
              </w:rPr>
              <w:t>Separate RACH resources between SDT and non-SDT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rsidR="001B5053" w:rsidRDefault="001B5053" w:rsidP="001B5053">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宋体" w:cs="Arial"/>
                <w:b/>
                <w:bCs/>
                <w:snapToGrid w:val="0"/>
                <w:sz w:val="20"/>
                <w:szCs w:val="20"/>
                <w:lang w:eastAsia="zh-CN"/>
              </w:rPr>
            </w:pPr>
            <w:r>
              <w:rPr>
                <w:rFonts w:cs="Arial"/>
                <w:b/>
                <w:bCs/>
                <w:snapToGrid w:val="0"/>
                <w:sz w:val="20"/>
                <w:szCs w:val="20"/>
              </w:rPr>
              <w:t>Q 3.1.2: Do companies agree that the MSG2/MSGB for SDT needs to be distinguished from the normal MSG2/MSGB? If the answer is yes, please also explain how to distinguish this (e.g. separate RNTI, Corset and/or search space etc)</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06"/>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highlight w:val="green"/>
              </w:rPr>
            </w:pPr>
            <w:r>
              <w:rPr>
                <w:rFonts w:cs="Arial"/>
                <w:snapToGrid w:val="0"/>
                <w:sz w:val="20"/>
                <w:szCs w:val="20"/>
              </w:rPr>
              <w:t xml:space="preserve">Yes, </w:t>
            </w:r>
          </w:p>
          <w:p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 xml:space="preserve">If separate RACH resource pool for SDT and non-SDT is allowed, then some ambiguity may exist in the </w:t>
            </w:r>
            <w:r>
              <w:rPr>
                <w:rFonts w:eastAsia="宋体" w:cs="Arial" w:hint="eastAsia"/>
                <w:snapToGrid w:val="0"/>
                <w:sz w:val="20"/>
                <w:szCs w:val="20"/>
                <w:lang w:eastAsia="zh-CN"/>
              </w:rPr>
              <w:t>MSG2/MSGB</w:t>
            </w:r>
            <w:r>
              <w:rPr>
                <w:rFonts w:eastAsia="宋体" w:cs="Arial"/>
                <w:snapToGrid w:val="0"/>
                <w:sz w:val="20"/>
                <w:szCs w:val="20"/>
                <w:lang w:eastAsia="zh-CN"/>
              </w:rPr>
              <w:t xml:space="preserve"> for different RA resource pool, since the same RA-RNTI/RAP-ID may be used in the two separate resource pool.  To solve this issue, the following alternatives can be considered:</w:t>
            </w:r>
          </w:p>
          <w:p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 xml:space="preserve">Alt1: RA-RNTI based solution (e.g. a special RA-RNTI can be used to indicate the </w:t>
            </w:r>
            <w:r>
              <w:rPr>
                <w:rFonts w:eastAsia="宋体" w:cs="Arial" w:hint="eastAsia"/>
                <w:snapToGrid w:val="0"/>
                <w:sz w:val="20"/>
                <w:szCs w:val="20"/>
                <w:lang w:eastAsia="zh-CN"/>
              </w:rPr>
              <w:t xml:space="preserve">MSG2/MSGB </w:t>
            </w:r>
            <w:r>
              <w:rPr>
                <w:rFonts w:eastAsia="宋体" w:cs="Arial"/>
                <w:snapToGrid w:val="0"/>
                <w:sz w:val="20"/>
                <w:szCs w:val="20"/>
                <w:lang w:eastAsia="zh-CN"/>
              </w:rPr>
              <w:t>for SDT, and more information can</w:t>
            </w:r>
            <w:r>
              <w:rPr>
                <w:rFonts w:eastAsia="宋体" w:cs="Arial" w:hint="eastAsia"/>
                <w:snapToGrid w:val="0"/>
                <w:sz w:val="20"/>
                <w:szCs w:val="20"/>
                <w:lang w:eastAsia="zh-CN"/>
              </w:rPr>
              <w:t xml:space="preserve"> </w:t>
            </w:r>
            <w:r>
              <w:rPr>
                <w:rFonts w:eastAsia="宋体" w:cs="Arial"/>
                <w:snapToGrid w:val="0"/>
                <w:sz w:val="20"/>
                <w:szCs w:val="20"/>
                <w:lang w:eastAsia="zh-CN"/>
              </w:rPr>
              <w:t>be included in MAC RAR to identify UE)</w:t>
            </w:r>
          </w:p>
          <w:p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Alt2: Separate SearchSpace/CORESET (needs RAN1 input)</w:t>
            </w:r>
          </w:p>
          <w:p w:rsidR="00D55952" w:rsidRDefault="0072635B">
            <w:pPr>
              <w:snapToGrid w:val="0"/>
              <w:rPr>
                <w:rFonts w:eastAsia="宋体" w:cs="Arial"/>
                <w:snapToGrid w:val="0"/>
                <w:sz w:val="20"/>
                <w:szCs w:val="20"/>
                <w:lang w:eastAsia="zh-CN"/>
              </w:rPr>
            </w:pPr>
            <w:r>
              <w:rPr>
                <w:rFonts w:eastAsia="宋体" w:cs="Arial"/>
                <w:snapToGrid w:val="0"/>
                <w:sz w:val="20"/>
                <w:szCs w:val="20"/>
                <w:lang w:eastAsia="zh-CN"/>
              </w:rPr>
              <w:t>For the two alternatives above, we think alternative 2 is more straightforward. Also considering</w:t>
            </w:r>
            <w:r>
              <w:rPr>
                <w:rFonts w:eastAsia="宋体" w:cs="Arial" w:hint="eastAsia"/>
                <w:snapToGrid w:val="0"/>
                <w:sz w:val="20"/>
                <w:szCs w:val="20"/>
                <w:lang w:eastAsia="zh-CN"/>
              </w:rPr>
              <w:t xml:space="preserve"> one</w:t>
            </w:r>
            <w:r>
              <w:rPr>
                <w:rFonts w:eastAsia="宋体" w:cs="Arial"/>
                <w:snapToGrid w:val="0"/>
                <w:sz w:val="20"/>
                <w:szCs w:val="20"/>
                <w:lang w:eastAsia="zh-CN"/>
              </w:rPr>
              <w:t xml:space="preserve"> of the intention to allow the configuration of separate RA resource pool for SDT is to avoid the congestion on non-SDT RA resource, having a separate SearchSpace/CORESET can be used to avoid the congestion on the legacy RA </w:t>
            </w:r>
            <w:r>
              <w:rPr>
                <w:rFonts w:eastAsia="宋体" w:cs="Arial" w:hint="eastAsia"/>
                <w:snapToGrid w:val="0"/>
                <w:sz w:val="20"/>
                <w:szCs w:val="20"/>
                <w:lang w:eastAsia="zh-CN"/>
              </w:rPr>
              <w:t>SearchSpace</w:t>
            </w:r>
            <w:r>
              <w:rPr>
                <w:rFonts w:eastAsia="宋体" w:cs="Arial"/>
                <w:snapToGrid w:val="0"/>
                <w:sz w:val="20"/>
                <w:szCs w:val="20"/>
                <w:lang w:eastAsia="zh-CN"/>
              </w:rPr>
              <w:t>/CORESET.</w:t>
            </w:r>
          </w:p>
          <w:p w:rsidR="00D55952" w:rsidRDefault="0072635B">
            <w:pPr>
              <w:snapToGrid w:val="0"/>
              <w:rPr>
                <w:rFonts w:eastAsia="宋体" w:cs="Arial"/>
                <w:snapToGrid w:val="0"/>
                <w:sz w:val="20"/>
                <w:szCs w:val="20"/>
                <w:highlight w:val="green"/>
                <w:lang w:eastAsia="zh-CN"/>
              </w:rPr>
            </w:pPr>
            <w:r>
              <w:rPr>
                <w:rFonts w:eastAsia="宋体" w:cs="Arial" w:hint="eastAsia"/>
                <w:snapToGrid w:val="0"/>
                <w:sz w:val="20"/>
                <w:szCs w:val="20"/>
                <w:lang w:eastAsia="zh-CN"/>
              </w:rPr>
              <w:t>Therefore, we prefer to have separate SearchSpace/CORESET from RAN2 persp</w:t>
            </w:r>
            <w:r>
              <w:rPr>
                <w:rFonts w:eastAsia="宋体" w:cs="Arial"/>
                <w:snapToGrid w:val="0"/>
                <w:sz w:val="20"/>
                <w:szCs w:val="20"/>
                <w:lang w:eastAsia="zh-CN"/>
              </w:rPr>
              <w:t>e</w:t>
            </w:r>
            <w:r>
              <w:rPr>
                <w:rFonts w:eastAsia="宋体" w:cs="Arial" w:hint="eastAsia"/>
                <w:snapToGrid w:val="0"/>
                <w:sz w:val="20"/>
                <w:szCs w:val="20"/>
                <w:lang w:eastAsia="zh-CN"/>
              </w:rPr>
              <w:t>ctive, and ask RAN1 to confirm the fe</w:t>
            </w:r>
            <w:r>
              <w:rPr>
                <w:rFonts w:eastAsia="宋体" w:cs="Arial"/>
                <w:snapToGrid w:val="0"/>
                <w:sz w:val="20"/>
                <w:szCs w:val="20"/>
                <w:lang w:eastAsia="zh-CN"/>
              </w:rPr>
              <w:t>a</w:t>
            </w:r>
            <w:r>
              <w:rPr>
                <w:rFonts w:eastAsia="宋体" w:cs="Arial" w:hint="eastAsia"/>
                <w:snapToGrid w:val="0"/>
                <w:sz w:val="20"/>
                <w:szCs w:val="20"/>
                <w:lang w:eastAsia="zh-CN"/>
              </w:rPr>
              <w:t>sibility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rsidR="00D55952" w:rsidRDefault="0072635B">
            <w:pPr>
              <w:snapToGrid w:val="0"/>
              <w:rPr>
                <w:rFonts w:cs="Arial"/>
                <w:snapToGrid w:val="0"/>
                <w:sz w:val="20"/>
                <w:szCs w:val="20"/>
              </w:rPr>
            </w:pPr>
            <w:r>
              <w:rPr>
                <w:rFonts w:cs="Arial"/>
                <w:snapToGrid w:val="0"/>
                <w:sz w:val="20"/>
                <w:szCs w:val="20"/>
              </w:rPr>
              <w:t xml:space="preserve">The above mentioned methods through separate RNTI or separate COREST/search space are workable and need to be evaluated by RAN1.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separate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rsidR="001B5053" w:rsidRDefault="001B5053" w:rsidP="001B5053">
            <w:pPr>
              <w:snapToGrid w:val="0"/>
              <w:rPr>
                <w:rFonts w:cs="Arial"/>
                <w:b/>
                <w:bCs/>
                <w:snapToGrid w:val="0"/>
                <w:sz w:val="20"/>
                <w:szCs w:val="20"/>
              </w:rPr>
            </w:pPr>
          </w:p>
        </w:tc>
      </w:tr>
    </w:tbl>
    <w:p w:rsidR="00D55952" w:rsidRDefault="00D55952">
      <w:pPr>
        <w:rPr>
          <w:lang w:val="en-GB" w:eastAsia="zh-CN"/>
        </w:rPr>
      </w:pPr>
    </w:p>
    <w:p w:rsidR="00D55952" w:rsidRDefault="0072635B">
      <w:pPr>
        <w:pStyle w:val="2"/>
        <w:rPr>
          <w:snapToGrid w:val="0"/>
          <w:lang w:val="en-GB"/>
        </w:rPr>
      </w:pPr>
      <w:r>
        <w:rPr>
          <w:snapToGrid w:val="0"/>
          <w:lang w:val="en-GB"/>
        </w:rPr>
        <w:t>Cell reselection and failure handling</w:t>
      </w:r>
    </w:p>
    <w:p w:rsidR="00D55952" w:rsidRDefault="0072635B">
      <w:pPr>
        <w:rPr>
          <w:lang w:val="en-GB" w:eastAsia="zh-CN"/>
        </w:rPr>
      </w:pPr>
      <w:r>
        <w:rPr>
          <w:lang w:val="en-GB" w:eastAsia="zh-CN"/>
        </w:rPr>
        <w:t xml:space="preserve">Currently, RLM and beam failure detection are not applicable before </w:t>
      </w:r>
      <w:r>
        <w:rPr>
          <w:i/>
          <w:iCs/>
          <w:lang w:val="en-GB" w:eastAsia="zh-CN"/>
        </w:rPr>
        <w:t>RRCResume</w:t>
      </w:r>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rsidR="00D55952" w:rsidRDefault="00D55952">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宋体" w:cs="Arial"/>
                <w:b/>
                <w:bCs/>
                <w:snapToGrid w:val="0"/>
                <w:sz w:val="20"/>
                <w:szCs w:val="20"/>
                <w:lang w:eastAsia="zh-CN"/>
              </w:rPr>
            </w:pPr>
            <w:r>
              <w:rPr>
                <w:rFonts w:cs="Arial"/>
                <w:b/>
                <w:bCs/>
                <w:snapToGrid w:val="0"/>
                <w:sz w:val="20"/>
                <w:szCs w:val="20"/>
              </w:rPr>
              <w:t>Q 3.2.1: Do companies agree that T319 should be extended to support SDT and if yes, by how much</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rsidR="00D55952" w:rsidRDefault="00D55952">
            <w:pPr>
              <w:snapToGrid w:val="0"/>
              <w:rPr>
                <w:rFonts w:eastAsia="宋体" w:cs="Arial"/>
                <w:snapToGrid w:val="0"/>
                <w:sz w:val="20"/>
                <w:szCs w:val="20"/>
                <w:lang w:eastAsia="zh-CN"/>
              </w:rPr>
            </w:pP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1B5053">
        <w:tc>
          <w:tcPr>
            <w:tcW w:w="1555" w:type="dxa"/>
          </w:tcPr>
          <w:p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rsidR="001B5053" w:rsidRDefault="001B5053" w:rsidP="001B5053">
            <w:pPr>
              <w:snapToGrid w:val="0"/>
              <w:rPr>
                <w:rFonts w:cs="Arial"/>
                <w:b/>
                <w:bCs/>
                <w:snapToGrid w:val="0"/>
                <w:sz w:val="20"/>
                <w:szCs w:val="20"/>
              </w:rPr>
            </w:pPr>
          </w:p>
        </w:tc>
      </w:tr>
    </w:tbl>
    <w:p w:rsidR="00D55952" w:rsidRDefault="00D55952">
      <w:pPr>
        <w:rPr>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宋体"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rsidR="001B5053" w:rsidRDefault="001B5053" w:rsidP="001B5053">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rsidR="00D55952" w:rsidRDefault="00D55952">
      <w:pPr>
        <w:rPr>
          <w:sz w:val="20"/>
          <w:szCs w:val="20"/>
          <w:lang w:val="en-GB" w:eastAsia="zh-CN"/>
        </w:rPr>
      </w:pPr>
    </w:p>
    <w:tbl>
      <w:tblPr>
        <w:tblStyle w:val="af3"/>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rsidR="00D55952" w:rsidRDefault="0072635B">
            <w:pPr>
              <w:snapToGrid w:val="0"/>
              <w:rPr>
                <w:rFonts w:eastAsia="宋体"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811"/>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rsidR="00D55952" w:rsidRDefault="0072635B">
            <w:pPr>
              <w:pStyle w:val="af9"/>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rsidR="00D55952" w:rsidRDefault="0072635B">
            <w:pPr>
              <w:pStyle w:val="af9"/>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rsidR="00D55952" w:rsidRDefault="0072635B">
            <w:pPr>
              <w:pStyle w:val="af9"/>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rsidR="00D55952" w:rsidRDefault="0072635B">
            <w:pPr>
              <w:pStyle w:val="af9"/>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rsidR="00D55952" w:rsidRDefault="0072635B">
            <w:pPr>
              <w:pStyle w:val="af9"/>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Option1 is the baseline. </w:t>
            </w:r>
          </w:p>
          <w:p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rsidR="00D55952" w:rsidRDefault="0072635B">
            <w:pPr>
              <w:snapToGrid w:val="0"/>
              <w:rPr>
                <w:rFonts w:cs="Arial"/>
                <w:snapToGrid w:val="0"/>
                <w:sz w:val="20"/>
                <w:szCs w:val="20"/>
              </w:rPr>
            </w:pPr>
            <w:r>
              <w:rPr>
                <w:rFonts w:cs="Arial"/>
                <w:snapToGrid w:val="0"/>
                <w:sz w:val="20"/>
                <w:szCs w:val="20"/>
              </w:rPr>
              <w:t xml:space="preserve">For cell reselection during SDT, we agree with Mediatek that the option 2 is minor optimization. </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bookmarkStart w:id="3" w:name="_GoBack" w:colFirst="0" w:colLast="0"/>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rsidR="001B5053" w:rsidRDefault="001B5053" w:rsidP="001B5053">
            <w:pPr>
              <w:snapToGrid w:val="0"/>
              <w:rPr>
                <w:rFonts w:cs="Arial"/>
                <w:b/>
                <w:bCs/>
                <w:snapToGrid w:val="0"/>
                <w:sz w:val="20"/>
                <w:szCs w:val="20"/>
              </w:rPr>
            </w:pPr>
          </w:p>
        </w:tc>
      </w:tr>
      <w:bookmarkEnd w:id="3"/>
    </w:tbl>
    <w:p w:rsidR="00D55952" w:rsidRDefault="00D55952">
      <w:pPr>
        <w:rPr>
          <w:sz w:val="20"/>
          <w:szCs w:val="20"/>
          <w:lang w:val="en-GB" w:eastAsia="zh-CN"/>
        </w:rPr>
      </w:pPr>
    </w:p>
    <w:p w:rsidR="00D55952" w:rsidRDefault="0072635B">
      <w:pPr>
        <w:pStyle w:val="1"/>
        <w:rPr>
          <w:snapToGrid w:val="0"/>
        </w:rPr>
      </w:pPr>
      <w:r>
        <w:rPr>
          <w:snapToGrid w:val="0"/>
        </w:rPr>
        <w:t>Conclusion and proposals</w:t>
      </w:r>
    </w:p>
    <w:p w:rsidR="00D55952" w:rsidRDefault="0072635B">
      <w:pPr>
        <w:rPr>
          <w:lang w:val="en-GB" w:eastAsia="en-GB"/>
        </w:rPr>
      </w:pPr>
      <w:r>
        <w:rPr>
          <w:highlight w:val="yellow"/>
          <w:lang w:val="en-GB" w:eastAsia="en-GB"/>
        </w:rPr>
        <w:t>TBD</w:t>
      </w:r>
    </w:p>
    <w:p w:rsidR="00D55952" w:rsidRDefault="00D55952">
      <w:pPr>
        <w:rPr>
          <w:sz w:val="20"/>
          <w:szCs w:val="20"/>
          <w:lang w:val="en-GB" w:eastAsia="zh-CN"/>
        </w:rPr>
      </w:pPr>
    </w:p>
    <w:p w:rsidR="00D55952" w:rsidRDefault="00D55952">
      <w:pPr>
        <w:rPr>
          <w:sz w:val="20"/>
          <w:szCs w:val="20"/>
          <w:lang w:eastAsia="zh-CN"/>
        </w:rPr>
      </w:pPr>
    </w:p>
    <w:p w:rsidR="00D55952" w:rsidRDefault="0072635B">
      <w:pPr>
        <w:pStyle w:val="1"/>
        <w:rPr>
          <w:snapToGrid w:val="0"/>
        </w:rPr>
      </w:pPr>
      <w:r>
        <w:rPr>
          <w:snapToGrid w:val="0"/>
        </w:rPr>
        <w:t>References</w:t>
      </w:r>
    </w:p>
    <w:p w:rsidR="00D55952" w:rsidRDefault="0072635B">
      <w:pPr>
        <w:pStyle w:val="af9"/>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rsidR="00D55952" w:rsidRDefault="00D55952">
      <w:pPr>
        <w:pStyle w:val="af9"/>
        <w:ind w:left="360"/>
        <w:rPr>
          <w:lang w:val="en-GB" w:eastAsia="en-GB"/>
        </w:rPr>
      </w:pPr>
    </w:p>
    <w:p w:rsidR="00D55952" w:rsidRDefault="0072635B">
      <w:pPr>
        <w:pStyle w:val="1"/>
        <w:rPr>
          <w:snapToGrid w:val="0"/>
        </w:rPr>
      </w:pPr>
      <w:r>
        <w:rPr>
          <w:snapToGrid w:val="0"/>
        </w:rPr>
        <w:t>Annex (contact details for email discussions)</w:t>
      </w:r>
    </w:p>
    <w:tbl>
      <w:tblPr>
        <w:tblStyle w:val="af3"/>
        <w:tblW w:w="15867" w:type="dxa"/>
        <w:tblLayout w:type="fixed"/>
        <w:tblLook w:val="04A0" w:firstRow="1" w:lastRow="0" w:firstColumn="1" w:lastColumn="0" w:noHBand="0" w:noVBand="1"/>
      </w:tblPr>
      <w:tblGrid>
        <w:gridCol w:w="2689"/>
        <w:gridCol w:w="7889"/>
        <w:gridCol w:w="5289"/>
      </w:tblGrid>
      <w:tr w:rsidR="00D55952">
        <w:tc>
          <w:tcPr>
            <w:tcW w:w="2689" w:type="dxa"/>
            <w:shd w:val="clear" w:color="auto" w:fill="00B0F0"/>
          </w:tcPr>
          <w:p w:rsidR="00D55952" w:rsidRDefault="0072635B">
            <w:pPr>
              <w:jc w:val="center"/>
              <w:rPr>
                <w:lang w:val="en-GB" w:eastAsia="en-GB"/>
              </w:rPr>
            </w:pPr>
            <w:r>
              <w:rPr>
                <w:lang w:val="en-GB" w:eastAsia="en-GB"/>
              </w:rPr>
              <w:t>Company</w:t>
            </w:r>
          </w:p>
        </w:tc>
        <w:tc>
          <w:tcPr>
            <w:tcW w:w="7889" w:type="dxa"/>
            <w:shd w:val="clear" w:color="auto" w:fill="00B0F0"/>
          </w:tcPr>
          <w:p w:rsidR="00D55952" w:rsidRDefault="0072635B">
            <w:pPr>
              <w:jc w:val="center"/>
              <w:rPr>
                <w:lang w:val="en-GB" w:eastAsia="en-GB"/>
              </w:rPr>
            </w:pPr>
            <w:r>
              <w:rPr>
                <w:lang w:val="en-GB" w:eastAsia="en-GB"/>
              </w:rPr>
              <w:t>Contact name</w:t>
            </w:r>
          </w:p>
        </w:tc>
        <w:tc>
          <w:tcPr>
            <w:tcW w:w="5289" w:type="dxa"/>
            <w:shd w:val="clear" w:color="auto" w:fill="00B0F0"/>
          </w:tcPr>
          <w:p w:rsidR="00D55952" w:rsidRDefault="0072635B">
            <w:pPr>
              <w:jc w:val="center"/>
              <w:rPr>
                <w:lang w:val="en-GB" w:eastAsia="en-GB"/>
              </w:rPr>
            </w:pPr>
            <w:r>
              <w:rPr>
                <w:lang w:val="en-GB" w:eastAsia="en-GB"/>
              </w:rPr>
              <w:t>Contact email</w:t>
            </w:r>
          </w:p>
        </w:tc>
      </w:tr>
      <w:tr w:rsidR="00D55952">
        <w:tc>
          <w:tcPr>
            <w:tcW w:w="2689" w:type="dxa"/>
          </w:tcPr>
          <w:p w:rsidR="00D55952" w:rsidRDefault="0072635B">
            <w:pPr>
              <w:rPr>
                <w:lang w:val="en-GB" w:eastAsia="en-GB"/>
              </w:rPr>
            </w:pPr>
            <w:r>
              <w:rPr>
                <w:lang w:val="en-GB" w:eastAsia="en-GB"/>
              </w:rPr>
              <w:t>Mediatek</w:t>
            </w:r>
          </w:p>
        </w:tc>
        <w:tc>
          <w:tcPr>
            <w:tcW w:w="7889" w:type="dxa"/>
          </w:tcPr>
          <w:p w:rsidR="00D55952" w:rsidRDefault="0072635B">
            <w:pPr>
              <w:rPr>
                <w:lang w:val="en-GB" w:eastAsia="en-GB"/>
              </w:rPr>
            </w:pPr>
            <w:r>
              <w:rPr>
                <w:lang w:val="en-GB" w:eastAsia="en-GB"/>
              </w:rPr>
              <w:t>Yuanyuan Zhang</w:t>
            </w:r>
          </w:p>
        </w:tc>
        <w:tc>
          <w:tcPr>
            <w:tcW w:w="5289" w:type="dxa"/>
          </w:tcPr>
          <w:p w:rsidR="00D55952" w:rsidRDefault="0072635B">
            <w:pPr>
              <w:rPr>
                <w:lang w:val="en-GB" w:eastAsia="en-GB"/>
              </w:rPr>
            </w:pPr>
            <w:r>
              <w:rPr>
                <w:lang w:val="en-GB" w:eastAsia="en-GB"/>
              </w:rPr>
              <w:t>Yuany.zhang@mediatek.com</w:t>
            </w:r>
          </w:p>
        </w:tc>
      </w:tr>
      <w:tr w:rsidR="00D55952">
        <w:tc>
          <w:tcPr>
            <w:tcW w:w="2689" w:type="dxa"/>
          </w:tcPr>
          <w:p w:rsidR="00D55952" w:rsidRDefault="0072635B">
            <w:pPr>
              <w:rPr>
                <w:lang w:val="en-GB"/>
              </w:rPr>
            </w:pPr>
            <w:r>
              <w:rPr>
                <w:rFonts w:hint="eastAsia"/>
                <w:lang w:val="en-GB"/>
              </w:rPr>
              <w:t>LG</w:t>
            </w:r>
          </w:p>
        </w:tc>
        <w:tc>
          <w:tcPr>
            <w:tcW w:w="7889" w:type="dxa"/>
          </w:tcPr>
          <w:p w:rsidR="00D55952" w:rsidRDefault="0072635B">
            <w:pPr>
              <w:rPr>
                <w:lang w:val="en-GB"/>
              </w:rPr>
            </w:pPr>
            <w:r>
              <w:rPr>
                <w:rFonts w:hint="eastAsia"/>
                <w:lang w:val="en-GB"/>
              </w:rPr>
              <w:t>SeungJune Yi</w:t>
            </w:r>
          </w:p>
        </w:tc>
        <w:tc>
          <w:tcPr>
            <w:tcW w:w="5289" w:type="dxa"/>
          </w:tcPr>
          <w:p w:rsidR="00D55952" w:rsidRDefault="0072635B">
            <w:pPr>
              <w:rPr>
                <w:lang w:val="en-GB"/>
              </w:rPr>
            </w:pPr>
            <w:r>
              <w:rPr>
                <w:lang w:val="en-GB"/>
              </w:rPr>
              <w:t>s</w:t>
            </w:r>
            <w:r>
              <w:rPr>
                <w:rFonts w:hint="eastAsia"/>
                <w:lang w:val="en-GB"/>
              </w:rPr>
              <w:t>eungjune.</w:t>
            </w:r>
            <w:r>
              <w:rPr>
                <w:lang w:val="en-GB"/>
              </w:rPr>
              <w:t>yi@lge.com</w:t>
            </w:r>
          </w:p>
        </w:tc>
      </w:tr>
    </w:tbl>
    <w:p w:rsidR="00D55952" w:rsidRDefault="00D55952">
      <w:pPr>
        <w:rPr>
          <w:lang w:val="en-GB" w:eastAsia="en-GB"/>
        </w:rPr>
      </w:pPr>
    </w:p>
    <w:p w:rsidR="00D55952" w:rsidRDefault="00D55952">
      <w:pPr>
        <w:pStyle w:val="af9"/>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B6F" w:rsidRDefault="004E3B6F">
      <w:pPr>
        <w:spacing w:after="0" w:line="240" w:lineRule="auto"/>
      </w:pPr>
      <w:r>
        <w:separator/>
      </w:r>
    </w:p>
  </w:endnote>
  <w:endnote w:type="continuationSeparator" w:id="0">
    <w:p w:rsidR="004E3B6F" w:rsidRDefault="004E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B6F" w:rsidRDefault="004E3B6F">
      <w:pPr>
        <w:spacing w:after="0" w:line="240" w:lineRule="auto"/>
      </w:pPr>
      <w:r>
        <w:separator/>
      </w:r>
    </w:p>
  </w:footnote>
  <w:footnote w:type="continuationSeparator" w:id="0">
    <w:p w:rsidR="004E3B6F" w:rsidRDefault="004E3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D55952"/>
    <w:rsid w:val="00137FF1"/>
    <w:rsid w:val="001B5053"/>
    <w:rsid w:val="003F33E5"/>
    <w:rsid w:val="004E3B6F"/>
    <w:rsid w:val="0072635B"/>
    <w:rsid w:val="007E4840"/>
    <w:rsid w:val="00B52A64"/>
    <w:rsid w:val="00D55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67B994A"/>
  <w15:docId w15:val="{70453534-0CB1-458B-8E22-A7BC4BFB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952"/>
    <w:rPr>
      <w:rFonts w:eastAsia="Gulim"/>
      <w:sz w:val="24"/>
      <w:szCs w:val="24"/>
      <w:lang w:val="en-US" w:eastAsia="ko-KR"/>
    </w:rPr>
  </w:style>
  <w:style w:type="paragraph" w:styleId="1">
    <w:name w:val="heading 1"/>
    <w:next w:val="a"/>
    <w:link w:val="10"/>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2">
    <w:name w:val="heading 2"/>
    <w:basedOn w:val="1"/>
    <w:next w:val="a"/>
    <w:link w:val="20"/>
    <w:qFormat/>
    <w:rsid w:val="00D55952"/>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rsid w:val="00D55952"/>
    <w:pPr>
      <w:numPr>
        <w:ilvl w:val="2"/>
      </w:numPr>
      <w:spacing w:before="120"/>
      <w:outlineLvl w:val="2"/>
    </w:pPr>
    <w:rPr>
      <w:sz w:val="28"/>
    </w:rPr>
  </w:style>
  <w:style w:type="paragraph" w:styleId="4">
    <w:name w:val="heading 4"/>
    <w:basedOn w:val="3"/>
    <w:next w:val="a"/>
    <w:link w:val="40"/>
    <w:qFormat/>
    <w:rsid w:val="00D55952"/>
    <w:pPr>
      <w:numPr>
        <w:ilvl w:val="3"/>
      </w:numPr>
      <w:outlineLvl w:val="3"/>
    </w:pPr>
    <w:rPr>
      <w:sz w:val="24"/>
    </w:rPr>
  </w:style>
  <w:style w:type="paragraph" w:styleId="5">
    <w:name w:val="heading 5"/>
    <w:basedOn w:val="4"/>
    <w:next w:val="a"/>
    <w:link w:val="50"/>
    <w:qFormat/>
    <w:rsid w:val="00D55952"/>
    <w:pPr>
      <w:numPr>
        <w:ilvl w:val="4"/>
      </w:numPr>
      <w:outlineLvl w:val="4"/>
    </w:pPr>
    <w:rPr>
      <w:sz w:val="22"/>
    </w:rPr>
  </w:style>
  <w:style w:type="paragraph" w:styleId="6">
    <w:name w:val="heading 6"/>
    <w:basedOn w:val="H6"/>
    <w:next w:val="a"/>
    <w:link w:val="60"/>
    <w:qFormat/>
    <w:rsid w:val="00D55952"/>
    <w:pPr>
      <w:numPr>
        <w:ilvl w:val="5"/>
      </w:numPr>
      <w:outlineLvl w:val="5"/>
    </w:pPr>
  </w:style>
  <w:style w:type="paragraph" w:styleId="7">
    <w:name w:val="heading 7"/>
    <w:basedOn w:val="H6"/>
    <w:next w:val="a"/>
    <w:link w:val="70"/>
    <w:qFormat/>
    <w:rsid w:val="00D55952"/>
    <w:pPr>
      <w:numPr>
        <w:ilvl w:val="6"/>
      </w:numPr>
      <w:outlineLvl w:val="6"/>
    </w:pPr>
  </w:style>
  <w:style w:type="paragraph" w:styleId="8">
    <w:name w:val="heading 8"/>
    <w:basedOn w:val="1"/>
    <w:next w:val="a"/>
    <w:link w:val="80"/>
    <w:qFormat/>
    <w:rsid w:val="00D55952"/>
    <w:pPr>
      <w:numPr>
        <w:ilvl w:val="7"/>
      </w:numPr>
      <w:outlineLvl w:val="7"/>
    </w:pPr>
    <w:rPr>
      <w:lang w:val="zh-CN" w:eastAsia="zh-CN"/>
    </w:rPr>
  </w:style>
  <w:style w:type="paragraph" w:styleId="9">
    <w:name w:val="heading 9"/>
    <w:basedOn w:val="8"/>
    <w:next w:val="a"/>
    <w:link w:val="90"/>
    <w:qFormat/>
    <w:rsid w:val="00D5595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55952"/>
    <w:pPr>
      <w:ind w:left="1985" w:hanging="1985"/>
      <w:outlineLvl w:val="9"/>
    </w:pPr>
    <w:rPr>
      <w:sz w:val="20"/>
    </w:rPr>
  </w:style>
  <w:style w:type="paragraph" w:styleId="31">
    <w:name w:val="List 3"/>
    <w:basedOn w:val="21"/>
    <w:qFormat/>
    <w:rsid w:val="00D55952"/>
    <w:pPr>
      <w:ind w:left="1135"/>
    </w:pPr>
  </w:style>
  <w:style w:type="paragraph" w:styleId="21">
    <w:name w:val="List 2"/>
    <w:basedOn w:val="a3"/>
    <w:qFormat/>
    <w:rsid w:val="00D55952"/>
    <w:pPr>
      <w:ind w:left="851"/>
    </w:pPr>
  </w:style>
  <w:style w:type="paragraph" w:styleId="a3">
    <w:name w:val="List"/>
    <w:basedOn w:val="a"/>
    <w:qFormat/>
    <w:rsid w:val="00D55952"/>
    <w:pPr>
      <w:ind w:left="568" w:hanging="284"/>
    </w:pPr>
  </w:style>
  <w:style w:type="paragraph" w:styleId="71">
    <w:name w:val="toc 7"/>
    <w:basedOn w:val="61"/>
    <w:next w:val="a"/>
    <w:uiPriority w:val="39"/>
    <w:qFormat/>
    <w:rsid w:val="00D55952"/>
    <w:pPr>
      <w:ind w:left="2268" w:hanging="2268"/>
    </w:pPr>
  </w:style>
  <w:style w:type="paragraph" w:styleId="61">
    <w:name w:val="toc 6"/>
    <w:basedOn w:val="51"/>
    <w:next w:val="a"/>
    <w:uiPriority w:val="39"/>
    <w:qFormat/>
    <w:rsid w:val="00D55952"/>
    <w:pPr>
      <w:ind w:left="1985" w:hanging="1985"/>
    </w:pPr>
  </w:style>
  <w:style w:type="paragraph" w:styleId="51">
    <w:name w:val="toc 5"/>
    <w:basedOn w:val="41"/>
    <w:next w:val="a"/>
    <w:uiPriority w:val="39"/>
    <w:qFormat/>
    <w:rsid w:val="00D55952"/>
    <w:pPr>
      <w:ind w:left="1701" w:hanging="1701"/>
    </w:pPr>
  </w:style>
  <w:style w:type="paragraph" w:styleId="41">
    <w:name w:val="toc 4"/>
    <w:basedOn w:val="32"/>
    <w:next w:val="a"/>
    <w:uiPriority w:val="39"/>
    <w:qFormat/>
    <w:rsid w:val="00D55952"/>
    <w:pPr>
      <w:ind w:left="1418" w:hanging="1418"/>
    </w:pPr>
  </w:style>
  <w:style w:type="paragraph" w:styleId="32">
    <w:name w:val="toc 3"/>
    <w:basedOn w:val="22"/>
    <w:next w:val="a"/>
    <w:uiPriority w:val="39"/>
    <w:qFormat/>
    <w:rsid w:val="00D55952"/>
    <w:pPr>
      <w:ind w:left="1134" w:hanging="1134"/>
    </w:pPr>
  </w:style>
  <w:style w:type="paragraph" w:styleId="22">
    <w:name w:val="toc 2"/>
    <w:basedOn w:val="11"/>
    <w:next w:val="a"/>
    <w:uiPriority w:val="39"/>
    <w:qFormat/>
    <w:rsid w:val="00D55952"/>
    <w:pPr>
      <w:keepNext w:val="0"/>
      <w:spacing w:before="0"/>
      <w:ind w:left="851" w:hanging="851"/>
    </w:pPr>
    <w:rPr>
      <w:sz w:val="20"/>
    </w:rPr>
  </w:style>
  <w:style w:type="paragraph" w:styleId="11">
    <w:name w:val="toc 1"/>
    <w:next w:val="a"/>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3">
    <w:name w:val="List Number 2"/>
    <w:basedOn w:val="a4"/>
    <w:qFormat/>
    <w:rsid w:val="00D55952"/>
    <w:pPr>
      <w:ind w:left="851"/>
    </w:pPr>
  </w:style>
  <w:style w:type="paragraph" w:styleId="a4">
    <w:name w:val="List Number"/>
    <w:basedOn w:val="a3"/>
    <w:qFormat/>
    <w:rsid w:val="00D55952"/>
  </w:style>
  <w:style w:type="paragraph" w:styleId="42">
    <w:name w:val="List Bullet 4"/>
    <w:basedOn w:val="33"/>
    <w:qFormat/>
    <w:rsid w:val="00D55952"/>
    <w:pPr>
      <w:ind w:left="1418"/>
    </w:pPr>
  </w:style>
  <w:style w:type="paragraph" w:styleId="33">
    <w:name w:val="List Bullet 3"/>
    <w:basedOn w:val="24"/>
    <w:qFormat/>
    <w:rsid w:val="00D55952"/>
    <w:pPr>
      <w:ind w:left="1135"/>
    </w:pPr>
  </w:style>
  <w:style w:type="paragraph" w:styleId="24">
    <w:name w:val="List Bullet 2"/>
    <w:basedOn w:val="a5"/>
    <w:qFormat/>
    <w:rsid w:val="00D55952"/>
    <w:pPr>
      <w:ind w:left="851"/>
    </w:pPr>
  </w:style>
  <w:style w:type="paragraph" w:styleId="a5">
    <w:name w:val="List Bullet"/>
    <w:basedOn w:val="a3"/>
    <w:qFormat/>
    <w:rsid w:val="00D55952"/>
  </w:style>
  <w:style w:type="paragraph" w:styleId="a6">
    <w:name w:val="annotation text"/>
    <w:basedOn w:val="a"/>
    <w:link w:val="a7"/>
    <w:qFormat/>
    <w:rsid w:val="00D55952"/>
    <w:rPr>
      <w:rFonts w:eastAsia="Malgun Gothic"/>
      <w:lang w:eastAsia="en-US"/>
    </w:rPr>
  </w:style>
  <w:style w:type="paragraph" w:styleId="52">
    <w:name w:val="List Bullet 5"/>
    <w:basedOn w:val="42"/>
    <w:qFormat/>
    <w:rsid w:val="00D55952"/>
    <w:pPr>
      <w:ind w:left="1702"/>
    </w:pPr>
  </w:style>
  <w:style w:type="paragraph" w:styleId="81">
    <w:name w:val="toc 8"/>
    <w:basedOn w:val="11"/>
    <w:next w:val="a"/>
    <w:uiPriority w:val="39"/>
    <w:qFormat/>
    <w:rsid w:val="00D55952"/>
    <w:pPr>
      <w:spacing w:before="180"/>
      <w:ind w:left="2693" w:hanging="2693"/>
    </w:pPr>
    <w:rPr>
      <w:b/>
    </w:rPr>
  </w:style>
  <w:style w:type="paragraph" w:styleId="a8">
    <w:name w:val="Balloon Text"/>
    <w:basedOn w:val="a"/>
    <w:link w:val="a9"/>
    <w:uiPriority w:val="99"/>
    <w:semiHidden/>
    <w:unhideWhenUsed/>
    <w:qFormat/>
    <w:rsid w:val="00D55952"/>
    <w:rPr>
      <w:rFonts w:ascii="Segoe UI" w:hAnsi="Segoe UI" w:cs="Segoe UI"/>
      <w:sz w:val="18"/>
      <w:szCs w:val="18"/>
    </w:rPr>
  </w:style>
  <w:style w:type="paragraph" w:styleId="aa">
    <w:name w:val="footer"/>
    <w:basedOn w:val="ab"/>
    <w:link w:val="ac"/>
    <w:qFormat/>
    <w:rsid w:val="00D55952"/>
    <w:pPr>
      <w:jc w:val="center"/>
    </w:pPr>
    <w:rPr>
      <w:i/>
      <w:lang w:val="zh-CN" w:eastAsia="zh-CN"/>
    </w:rPr>
  </w:style>
  <w:style w:type="paragraph" w:styleId="ab">
    <w:name w:val="header"/>
    <w:link w:val="ad"/>
    <w:qFormat/>
    <w:rsid w:val="00D55952"/>
    <w:pPr>
      <w:widowControl w:val="0"/>
      <w:overflowPunct w:val="0"/>
      <w:autoSpaceDE w:val="0"/>
      <w:autoSpaceDN w:val="0"/>
      <w:adjustRightInd w:val="0"/>
      <w:textAlignment w:val="baseline"/>
    </w:pPr>
    <w:rPr>
      <w:rFonts w:ascii="Arial" w:hAnsi="Arial"/>
      <w:b/>
      <w:sz w:val="18"/>
    </w:rPr>
  </w:style>
  <w:style w:type="paragraph" w:styleId="ae">
    <w:name w:val="footnote text"/>
    <w:basedOn w:val="a"/>
    <w:link w:val="af"/>
    <w:qFormat/>
    <w:rsid w:val="00D55952"/>
    <w:pPr>
      <w:keepLines/>
      <w:ind w:left="454" w:hanging="454"/>
    </w:pPr>
    <w:rPr>
      <w:sz w:val="16"/>
      <w:lang w:val="zh-CN" w:eastAsia="zh-CN"/>
    </w:rPr>
  </w:style>
  <w:style w:type="paragraph" w:styleId="53">
    <w:name w:val="List 5"/>
    <w:basedOn w:val="43"/>
    <w:qFormat/>
    <w:rsid w:val="00D55952"/>
    <w:pPr>
      <w:ind w:left="1702"/>
    </w:pPr>
  </w:style>
  <w:style w:type="paragraph" w:styleId="43">
    <w:name w:val="List 4"/>
    <w:basedOn w:val="31"/>
    <w:qFormat/>
    <w:rsid w:val="00D55952"/>
    <w:pPr>
      <w:ind w:left="1418"/>
    </w:pPr>
  </w:style>
  <w:style w:type="paragraph" w:styleId="91">
    <w:name w:val="toc 9"/>
    <w:basedOn w:val="81"/>
    <w:next w:val="a"/>
    <w:uiPriority w:val="39"/>
    <w:qFormat/>
    <w:rsid w:val="00D55952"/>
    <w:pPr>
      <w:ind w:left="1418" w:hanging="1418"/>
    </w:pPr>
  </w:style>
  <w:style w:type="paragraph" w:styleId="af0">
    <w:name w:val="Normal (Web)"/>
    <w:basedOn w:val="a"/>
    <w:uiPriority w:val="99"/>
    <w:semiHidden/>
    <w:unhideWhenUsed/>
    <w:qFormat/>
    <w:rsid w:val="00D55952"/>
    <w:pPr>
      <w:spacing w:before="100" w:beforeAutospacing="1" w:after="100" w:afterAutospacing="1"/>
    </w:pPr>
    <w:rPr>
      <w:rFonts w:eastAsia="Times New Roman"/>
      <w:lang w:val="en-GB" w:eastAsia="en-GB"/>
    </w:rPr>
  </w:style>
  <w:style w:type="paragraph" w:styleId="12">
    <w:name w:val="index 1"/>
    <w:basedOn w:val="a"/>
    <w:next w:val="a"/>
    <w:qFormat/>
    <w:rsid w:val="00D55952"/>
    <w:pPr>
      <w:keepLines/>
    </w:pPr>
  </w:style>
  <w:style w:type="paragraph" w:styleId="25">
    <w:name w:val="index 2"/>
    <w:basedOn w:val="12"/>
    <w:next w:val="a"/>
    <w:qFormat/>
    <w:rsid w:val="00D55952"/>
    <w:pPr>
      <w:ind w:left="284"/>
    </w:pPr>
  </w:style>
  <w:style w:type="paragraph" w:styleId="af1">
    <w:name w:val="annotation subject"/>
    <w:basedOn w:val="a6"/>
    <w:next w:val="a6"/>
    <w:link w:val="af2"/>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af3">
    <w:name w:val="Table Grid"/>
    <w:basedOn w:val="a1"/>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qFormat/>
    <w:rsid w:val="00D55952"/>
    <w:rPr>
      <w:color w:val="954F72" w:themeColor="followedHyperlink"/>
      <w:u w:val="single"/>
    </w:rPr>
  </w:style>
  <w:style w:type="character" w:styleId="af5">
    <w:name w:val="Emphasis"/>
    <w:basedOn w:val="a0"/>
    <w:uiPriority w:val="20"/>
    <w:qFormat/>
    <w:rsid w:val="00D55952"/>
    <w:rPr>
      <w:i/>
      <w:iCs/>
    </w:rPr>
  </w:style>
  <w:style w:type="character" w:styleId="af6">
    <w:name w:val="Hyperlink"/>
    <w:uiPriority w:val="99"/>
    <w:qFormat/>
    <w:rsid w:val="00D55952"/>
    <w:rPr>
      <w:color w:val="0000FF"/>
      <w:u w:val="single"/>
    </w:rPr>
  </w:style>
  <w:style w:type="character" w:styleId="af7">
    <w:name w:val="annotation reference"/>
    <w:rsid w:val="00D55952"/>
    <w:rPr>
      <w:sz w:val="16"/>
      <w:szCs w:val="16"/>
    </w:rPr>
  </w:style>
  <w:style w:type="character" w:styleId="af8">
    <w:name w:val="footnote reference"/>
    <w:rsid w:val="00D55952"/>
    <w:rPr>
      <w:b/>
      <w:position w:val="6"/>
      <w:sz w:val="16"/>
    </w:rPr>
  </w:style>
  <w:style w:type="paragraph" w:customStyle="1" w:styleId="B1">
    <w:name w:val="B1"/>
    <w:basedOn w:val="a3"/>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21"/>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31"/>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43"/>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53"/>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a"/>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a"/>
    <w:next w:val="a"/>
    <w:rsid w:val="00D55952"/>
    <w:pPr>
      <w:keepLines/>
      <w:tabs>
        <w:tab w:val="center" w:pos="4536"/>
        <w:tab w:val="right" w:pos="9072"/>
      </w:tabs>
    </w:pPr>
  </w:style>
  <w:style w:type="paragraph" w:customStyle="1" w:styleId="EX">
    <w:name w:val="EX"/>
    <w:basedOn w:val="a"/>
    <w:qFormat/>
    <w:rsid w:val="00D55952"/>
    <w:pPr>
      <w:keepLines/>
      <w:ind w:left="1702" w:hanging="1418"/>
    </w:pPr>
  </w:style>
  <w:style w:type="paragraph" w:customStyle="1" w:styleId="EW">
    <w:name w:val="EW"/>
    <w:basedOn w:val="EX"/>
    <w:rsid w:val="00D55952"/>
  </w:style>
  <w:style w:type="character" w:customStyle="1" w:styleId="ad">
    <w:name w:val="页眉 字符"/>
    <w:link w:val="ab"/>
    <w:rsid w:val="00D55952"/>
    <w:rPr>
      <w:rFonts w:eastAsia="Times New Roman"/>
      <w:b/>
      <w:kern w:val="0"/>
      <w:sz w:val="18"/>
      <w:szCs w:val="20"/>
      <w:lang w:eastAsia="en-GB"/>
    </w:rPr>
  </w:style>
  <w:style w:type="character" w:customStyle="1" w:styleId="ac">
    <w:name w:val="页脚 字符"/>
    <w:link w:val="aa"/>
    <w:rsid w:val="00D55952"/>
    <w:rPr>
      <w:rFonts w:eastAsia="Times New Roman"/>
      <w:b/>
      <w:i/>
      <w:kern w:val="0"/>
      <w:sz w:val="18"/>
      <w:szCs w:val="20"/>
      <w:lang w:val="zh-CN" w:eastAsia="zh-CN"/>
    </w:rPr>
  </w:style>
  <w:style w:type="character" w:customStyle="1" w:styleId="af">
    <w:name w:val="脚注文本 字符"/>
    <w:link w:val="ae"/>
    <w:rsid w:val="00D55952"/>
    <w:rPr>
      <w:rFonts w:ascii="Times New Roman" w:eastAsia="Times New Roman" w:hAnsi="Times New Roman"/>
      <w:kern w:val="0"/>
      <w:sz w:val="16"/>
      <w:szCs w:val="20"/>
      <w:lang w:val="zh-CN" w:eastAsia="zh-CN"/>
    </w:rPr>
  </w:style>
  <w:style w:type="paragraph" w:customStyle="1" w:styleId="FP">
    <w:name w:val="FP"/>
    <w:basedOn w:val="a"/>
    <w:rsid w:val="00D55952"/>
  </w:style>
  <w:style w:type="character" w:customStyle="1" w:styleId="10">
    <w:name w:val="标题 1 字符"/>
    <w:link w:val="1"/>
    <w:rsid w:val="00D55952"/>
    <w:rPr>
      <w:rFonts w:eastAsia="Times New Roman"/>
      <w:kern w:val="0"/>
      <w:sz w:val="36"/>
      <w:szCs w:val="20"/>
      <w:lang w:eastAsia="en-GB"/>
    </w:rPr>
  </w:style>
  <w:style w:type="character" w:customStyle="1" w:styleId="20">
    <w:name w:val="标题 2 字符"/>
    <w:link w:val="2"/>
    <w:rsid w:val="00D55952"/>
    <w:rPr>
      <w:rFonts w:eastAsia="Times New Roman"/>
      <w:kern w:val="0"/>
      <w:sz w:val="32"/>
      <w:szCs w:val="20"/>
      <w:lang w:val="zh-CN" w:eastAsia="zh-CN"/>
    </w:rPr>
  </w:style>
  <w:style w:type="character" w:customStyle="1" w:styleId="30">
    <w:name w:val="标题 3 字符"/>
    <w:link w:val="3"/>
    <w:rsid w:val="00D55952"/>
    <w:rPr>
      <w:rFonts w:eastAsia="Times New Roman"/>
      <w:kern w:val="0"/>
      <w:sz w:val="28"/>
      <w:szCs w:val="20"/>
      <w:lang w:val="zh-CN" w:eastAsia="zh-CN"/>
    </w:rPr>
  </w:style>
  <w:style w:type="character" w:customStyle="1" w:styleId="40">
    <w:name w:val="标题 4 字符"/>
    <w:link w:val="4"/>
    <w:rsid w:val="00D55952"/>
    <w:rPr>
      <w:rFonts w:eastAsia="Times New Roman"/>
      <w:kern w:val="0"/>
      <w:sz w:val="24"/>
      <w:szCs w:val="20"/>
      <w:lang w:val="zh-CN" w:eastAsia="zh-CN"/>
    </w:rPr>
  </w:style>
  <w:style w:type="character" w:customStyle="1" w:styleId="50">
    <w:name w:val="标题 5 字符"/>
    <w:link w:val="5"/>
    <w:qFormat/>
    <w:rsid w:val="00D55952"/>
    <w:rPr>
      <w:rFonts w:eastAsia="Times New Roman"/>
      <w:kern w:val="0"/>
      <w:sz w:val="22"/>
      <w:szCs w:val="20"/>
      <w:lang w:val="zh-CN" w:eastAsia="zh-CN"/>
    </w:rPr>
  </w:style>
  <w:style w:type="character" w:customStyle="1" w:styleId="60">
    <w:name w:val="标题 6 字符"/>
    <w:link w:val="6"/>
    <w:qFormat/>
    <w:rsid w:val="00D55952"/>
    <w:rPr>
      <w:rFonts w:eastAsia="Times New Roman"/>
      <w:kern w:val="0"/>
      <w:sz w:val="20"/>
      <w:szCs w:val="20"/>
      <w:lang w:val="zh-CN" w:eastAsia="zh-CN"/>
    </w:rPr>
  </w:style>
  <w:style w:type="character" w:customStyle="1" w:styleId="70">
    <w:name w:val="标题 7 字符"/>
    <w:link w:val="7"/>
    <w:qFormat/>
    <w:rsid w:val="00D55952"/>
    <w:rPr>
      <w:rFonts w:eastAsia="Times New Roman"/>
      <w:kern w:val="0"/>
      <w:sz w:val="20"/>
      <w:szCs w:val="20"/>
      <w:lang w:val="zh-CN" w:eastAsia="zh-CN"/>
    </w:rPr>
  </w:style>
  <w:style w:type="character" w:customStyle="1" w:styleId="80">
    <w:name w:val="标题 8 字符"/>
    <w:link w:val="8"/>
    <w:rsid w:val="00D55952"/>
    <w:rPr>
      <w:rFonts w:eastAsia="Times New Roman"/>
      <w:kern w:val="0"/>
      <w:sz w:val="36"/>
      <w:szCs w:val="20"/>
      <w:lang w:val="zh-CN" w:eastAsia="zh-CN"/>
    </w:rPr>
  </w:style>
  <w:style w:type="character" w:customStyle="1" w:styleId="90">
    <w:name w:val="标题 9 字符"/>
    <w:link w:val="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9">
    <w:name w:val="List Paragraph"/>
    <w:basedOn w:val="a"/>
    <w:link w:val="afa"/>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a"/>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1"/>
    <w:next w:val="a"/>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a9">
    <w:name w:val="批注框文本 字符"/>
    <w:basedOn w:val="a0"/>
    <w:link w:val="a8"/>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a7">
    <w:name w:val="批注文字 字符"/>
    <w:basedOn w:val="a0"/>
    <w:link w:val="a6"/>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a"/>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af2">
    <w:name w:val="批注主题 字符"/>
    <w:basedOn w:val="a7"/>
    <w:link w:val="af1"/>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a"/>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a"/>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afa">
    <w:name w:val="列出段落 字符"/>
    <w:link w:val="af9"/>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a0"/>
    <w:qFormat/>
    <w:rsid w:val="00D55952"/>
  </w:style>
  <w:style w:type="character" w:customStyle="1" w:styleId="UnresolvedMention1">
    <w:name w:val="Unresolved Mention1"/>
    <w:basedOn w:val="a0"/>
    <w:uiPriority w:val="99"/>
    <w:semiHidden/>
    <w:unhideWhenUsed/>
    <w:rsid w:val="00D55952"/>
    <w:rPr>
      <w:color w:val="605E5C"/>
      <w:shd w:val="clear" w:color="auto" w:fill="E1DFDD"/>
    </w:rPr>
  </w:style>
  <w:style w:type="paragraph" w:customStyle="1" w:styleId="EmailDiscussion">
    <w:name w:val="EmailDiscussion"/>
    <w:basedOn w:val="a"/>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3">
    <w:name w:val="修订1"/>
    <w:hidden/>
    <w:uiPriority w:val="99"/>
    <w:semiHidden/>
    <w:qFormat/>
    <w:rsid w:val="00D55952"/>
    <w:rPr>
      <w:rFonts w:eastAsia="Gulim"/>
      <w:sz w:val="24"/>
      <w:szCs w:val="24"/>
      <w:lang w:val="en-US" w:eastAsia="ko-KR"/>
    </w:rPr>
  </w:style>
  <w:style w:type="paragraph" w:styleId="afb">
    <w:name w:val="Document Map"/>
    <w:basedOn w:val="a"/>
    <w:link w:val="afc"/>
    <w:uiPriority w:val="99"/>
    <w:semiHidden/>
    <w:unhideWhenUsed/>
    <w:rsid w:val="007E4840"/>
    <w:rPr>
      <w:rFonts w:ascii="宋体" w:eastAsia="宋体"/>
      <w:sz w:val="18"/>
      <w:szCs w:val="18"/>
    </w:rPr>
  </w:style>
  <w:style w:type="character" w:customStyle="1" w:styleId="afc">
    <w:name w:val="文档结构图 字符"/>
    <w:basedOn w:val="a0"/>
    <w:link w:val="afb"/>
    <w:uiPriority w:val="99"/>
    <w:semiHidden/>
    <w:rsid w:val="007E4840"/>
    <w:rPr>
      <w:rFonts w:ascii="宋体" w:eastAsia="宋体"/>
      <w:sz w:val="18"/>
      <w:szCs w:val="18"/>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71c5aaf6-e6ce-465b-b873-5148d2a4c105"/>
    <ds:schemaRef ds:uri="http://purl.org/dc/dcmitype/"/>
    <ds:schemaRef ds:uri="http://schemas.microsoft.com/office/2006/metadata/properties"/>
    <ds:schemaRef ds:uri="55ae6c15-9962-46ae-a768-8deca3649a65"/>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5.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6.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7.xml><?xml version="1.0" encoding="utf-8"?>
<ds:datastoreItem xmlns:ds="http://schemas.openxmlformats.org/officeDocument/2006/customXml" ds:itemID="{1DA6B7F4-C62C-4026-B93D-16E5EB66C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5015</Words>
  <Characters>28591</Characters>
  <Application>Microsoft Office Word</Application>
  <DocSecurity>0</DocSecurity>
  <Lines>238</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zcm</cp:lastModifiedBy>
  <cp:revision>2</cp:revision>
  <dcterms:created xsi:type="dcterms:W3CDTF">2020-09-29T03:46:00Z</dcterms:created>
  <dcterms:modified xsi:type="dcterms:W3CDTF">2020-09-29T03:46:00Z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