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302D6" w14:textId="77777777"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w:t>
      </w:r>
      <w:proofErr w:type="spellStart"/>
      <w:r>
        <w:rPr>
          <w:rFonts w:eastAsia="宋体" w:cs="Arial"/>
          <w:b/>
          <w:sz w:val="28"/>
          <w:szCs w:val="28"/>
          <w:lang w:eastAsia="en-US"/>
        </w:rPr>
        <w:t>yy</w:t>
      </w:r>
      <w:proofErr w:type="spellEnd"/>
      <w:r>
        <w:rPr>
          <w:rFonts w:eastAsia="宋体" w:cs="Arial"/>
          <w:b/>
          <w:sz w:val="28"/>
          <w:szCs w:val="28"/>
          <w:lang w:eastAsia="en-US"/>
        </w:rPr>
        <w:t>,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1"/>
        <w:rPr>
          <w:snapToGrid w:val="0"/>
        </w:rPr>
      </w:pPr>
      <w:r>
        <w:rPr>
          <w:snapToGrid w:val="0"/>
        </w:rPr>
        <w:t>Overall procedure for RRC-based small data transmission</w:t>
      </w:r>
    </w:p>
    <w:p w14:paraId="28F0A707" w14:textId="77777777" w:rsidR="00D55952" w:rsidRDefault="0072635B">
      <w:pPr>
        <w:pStyle w:val="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50C47FFE" w14:textId="77777777" w:rsidR="00D55952" w:rsidRDefault="00D55952">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r w:rsidR="00804226" w14:paraId="4FAB2F29" w14:textId="77777777" w:rsidTr="00C9097D">
        <w:tc>
          <w:tcPr>
            <w:tcW w:w="1555" w:type="dxa"/>
          </w:tcPr>
          <w:p w14:paraId="52F444EF" w14:textId="13F83558"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77777777" w:rsidR="00804226" w:rsidRDefault="00804226" w:rsidP="007830A9">
            <w:pPr>
              <w:snapToGrid w:val="0"/>
              <w:rPr>
                <w:rFonts w:cs="Arial"/>
                <w:b/>
                <w:bCs/>
                <w:snapToGrid w:val="0"/>
                <w:sz w:val="20"/>
                <w:szCs w:val="20"/>
              </w:rPr>
            </w:pPr>
          </w:p>
        </w:tc>
      </w:tr>
      <w:tr w:rsidR="00FE4166" w14:paraId="5BA6F6BE" w14:textId="77777777" w:rsidTr="00C9097D">
        <w:tc>
          <w:tcPr>
            <w:tcW w:w="1555" w:type="dxa"/>
          </w:tcPr>
          <w:p w14:paraId="0A72FBDC" w14:textId="2F54BDAD" w:rsidR="00FE4166" w:rsidRDefault="00FE4166" w:rsidP="007830A9">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FE4166" w:rsidRPr="00FE4166" w:rsidRDefault="00FE4166" w:rsidP="007830A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77777777" w:rsidR="00FE4166" w:rsidRDefault="00FE4166" w:rsidP="007830A9">
            <w:pPr>
              <w:snapToGrid w:val="0"/>
              <w:rPr>
                <w:rFonts w:cs="Arial"/>
                <w:b/>
                <w:bCs/>
                <w:snapToGrid w:val="0"/>
                <w:sz w:val="20"/>
                <w:szCs w:val="20"/>
              </w:rPr>
            </w:pPr>
          </w:p>
        </w:tc>
      </w:tr>
      <w:tr w:rsidR="00F5541F" w14:paraId="6AF65965" w14:textId="77777777" w:rsidTr="00C9097D">
        <w:tc>
          <w:tcPr>
            <w:tcW w:w="1555" w:type="dxa"/>
          </w:tcPr>
          <w:p w14:paraId="33A61BCF" w14:textId="42EDBE6A" w:rsidR="00F5541F" w:rsidRPr="00FE4166" w:rsidRDefault="00F5541F" w:rsidP="007830A9">
            <w:pPr>
              <w:snapToGrid w:val="0"/>
              <w:rPr>
                <w:rFonts w:eastAsia="Yu Mincho" w:cs="Arial" w:hint="eastAsia"/>
                <w:snapToGrid w:val="0"/>
                <w:sz w:val="20"/>
                <w:szCs w:val="20"/>
                <w:lang w:eastAsia="ja-JP"/>
              </w:rPr>
            </w:pPr>
            <w:r>
              <w:rPr>
                <w:rFonts w:eastAsia="Yu Mincho" w:cs="Arial"/>
                <w:snapToGrid w:val="0"/>
                <w:sz w:val="20"/>
                <w:szCs w:val="20"/>
                <w:lang w:eastAsia="ja-JP"/>
              </w:rPr>
              <w:t>Lenovo</w:t>
            </w:r>
          </w:p>
        </w:tc>
        <w:tc>
          <w:tcPr>
            <w:tcW w:w="9497" w:type="dxa"/>
          </w:tcPr>
          <w:p w14:paraId="0685A979" w14:textId="556B43F6" w:rsidR="00F5541F" w:rsidRDefault="00F5541F" w:rsidP="007830A9">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4814" w:type="dxa"/>
          </w:tcPr>
          <w:p w14:paraId="50C32F31" w14:textId="77777777" w:rsidR="00F5541F" w:rsidRDefault="00F5541F" w:rsidP="007830A9">
            <w:pPr>
              <w:snapToGrid w:val="0"/>
              <w:rPr>
                <w:rFonts w:cs="Arial"/>
                <w:b/>
                <w:bCs/>
                <w:snapToGrid w:val="0"/>
                <w:sz w:val="20"/>
                <w:szCs w:val="20"/>
              </w:rPr>
            </w:pPr>
          </w:p>
        </w:tc>
      </w:tr>
    </w:tbl>
    <w:p w14:paraId="6D183B9C" w14:textId="77777777" w:rsidR="00D55952" w:rsidRDefault="00D55952">
      <w:pPr>
        <w:pStyle w:val="2"/>
        <w:numPr>
          <w:ilvl w:val="0"/>
          <w:numId w:val="0"/>
        </w:numPr>
        <w:ind w:left="576" w:hanging="576"/>
        <w:rPr>
          <w:snapToGrid w:val="0"/>
          <w:lang w:val="en-GB"/>
        </w:rPr>
      </w:pPr>
    </w:p>
    <w:p w14:paraId="55B3CF6C" w14:textId="77777777" w:rsidR="00C9097D" w:rsidRPr="00C9097D" w:rsidRDefault="00C9097D" w:rsidP="00C9097D">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384B6890"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lastRenderedPageBreak/>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w:t>
            </w:r>
            <w:proofErr w:type="gramStart"/>
            <w:r>
              <w:rPr>
                <w:rFonts w:cs="Arial"/>
                <w:snapToGrid w:val="0"/>
                <w:sz w:val="20"/>
                <w:szCs w:val="20"/>
              </w:rPr>
              <w:t>stage-3</w:t>
            </w:r>
            <w:proofErr w:type="gramEnd"/>
            <w:r>
              <w:rPr>
                <w:rFonts w:cs="Arial"/>
                <w:snapToGrid w:val="0"/>
                <w:sz w:val="20"/>
                <w:szCs w:val="20"/>
              </w:rPr>
              <w:t xml:space="preserve">.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 xml:space="preserve">We think the new TAT is similar to the legacy </w:t>
            </w:r>
            <w:proofErr w:type="gramStart"/>
            <w:r>
              <w:rPr>
                <w:rFonts w:cs="Arial"/>
                <w:snapToGrid w:val="0"/>
                <w:sz w:val="20"/>
                <w:szCs w:val="20"/>
              </w:rPr>
              <w:t>TAT, but</w:t>
            </w:r>
            <w:proofErr w:type="gramEnd"/>
            <w:r>
              <w:rPr>
                <w:rFonts w:cs="Arial"/>
                <w:snapToGrid w:val="0"/>
                <w:sz w:val="20"/>
                <w:szCs w:val="20"/>
              </w:rPr>
              <w:t xml:space="preserve">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32BC3FE" w14:textId="77777777" w:rsidR="00E945D4" w:rsidRDefault="00E945D4" w:rsidP="00E945D4">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proofErr w:type="gramStart"/>
            <w:r w:rsidRPr="007830A9">
              <w:rPr>
                <w:rFonts w:cs="Arial"/>
                <w:snapToGrid w:val="0"/>
                <w:sz w:val="20"/>
                <w:szCs w:val="20"/>
              </w:rPr>
              <w:t>All of</w:t>
            </w:r>
            <w:proofErr w:type="gramEnd"/>
            <w:r w:rsidRPr="007830A9">
              <w:rPr>
                <w:rFonts w:cs="Arial"/>
                <w:snapToGrid w:val="0"/>
                <w:sz w:val="20"/>
                <w:szCs w:val="20"/>
              </w:rPr>
              <w:t xml:space="preserve">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r w:rsidR="00804226" w:rsidRPr="001253CB" w14:paraId="3060A4DA" w14:textId="77777777" w:rsidTr="00C9097D">
        <w:tc>
          <w:tcPr>
            <w:tcW w:w="1555" w:type="dxa"/>
          </w:tcPr>
          <w:p w14:paraId="6BEE7CC8" w14:textId="4DDA3855" w:rsidR="00804226" w:rsidRPr="00804226" w:rsidRDefault="00804226" w:rsidP="007830A9">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to the UE, setting the value of TA timer to enough long value, and so on.</w:t>
            </w:r>
          </w:p>
          <w:tbl>
            <w:tblPr>
              <w:tblStyle w:val="af3"/>
              <w:tblW w:w="0" w:type="auto"/>
              <w:tblLayout w:type="fixed"/>
              <w:tblLook w:val="04A0" w:firstRow="1" w:lastRow="0" w:firstColumn="1" w:lastColumn="0" w:noHBand="0" w:noVBand="1"/>
            </w:tblPr>
            <w:tblGrid>
              <w:gridCol w:w="9271"/>
            </w:tblGrid>
            <w:tr w:rsidR="00804226" w:rsidRPr="00174DBF" w14:paraId="46581B5C" w14:textId="77777777" w:rsidTr="00D93052">
              <w:tc>
                <w:tcPr>
                  <w:tcW w:w="9271" w:type="dxa"/>
                </w:tcPr>
                <w:p w14:paraId="3BF4607E" w14:textId="77777777" w:rsidR="00804226" w:rsidRPr="00FE4166" w:rsidRDefault="00804226" w:rsidP="00804226">
                  <w:pPr>
                    <w:pStyle w:val="B1"/>
                    <w:rPr>
                      <w:noProof/>
                      <w:sz w:val="20"/>
                      <w:szCs w:val="20"/>
                      <w:lang w:val="en-US"/>
                    </w:rPr>
                  </w:pPr>
                  <w:r w:rsidRPr="00FE4166">
                    <w:rPr>
                      <w:noProof/>
                      <w:sz w:val="20"/>
                      <w:szCs w:val="20"/>
                      <w:lang w:val="en-US" w:eastAsia="ko-KR"/>
                    </w:rPr>
                    <w:t>1&gt;</w:t>
                  </w:r>
                  <w:r w:rsidRPr="00FE4166">
                    <w:rPr>
                      <w:noProof/>
                      <w:sz w:val="20"/>
                      <w:szCs w:val="20"/>
                      <w:lang w:val="en-US"/>
                    </w:rPr>
                    <w:tab/>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04226" w:rsidRPr="00FE4166" w:rsidRDefault="00804226" w:rsidP="00804226">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proofErr w:type="spellStart"/>
                  <w:r w:rsidRPr="00FE4166">
                    <w:rPr>
                      <w:i/>
                      <w:iCs/>
                      <w:sz w:val="20"/>
                      <w:szCs w:val="20"/>
                      <w:lang w:val="en-US"/>
                    </w:rPr>
                    <w:t>timeAlignmentTimer</w:t>
                  </w:r>
                  <w:proofErr w:type="spellEnd"/>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04226" w:rsidRPr="00FE4166" w:rsidRDefault="00804226" w:rsidP="00804226">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PUCCH for all Serving Cells, if configured;</w:t>
                  </w:r>
                </w:p>
                <w:p w14:paraId="622E35B8"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SRS for all Serving Cells, if configured;</w:t>
                  </w:r>
                </w:p>
                <w:p w14:paraId="21CFC942" w14:textId="77777777" w:rsidR="00804226" w:rsidRPr="00FE4166" w:rsidRDefault="00804226" w:rsidP="00804226">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04226" w:rsidRPr="00FE4166" w:rsidRDefault="00804226" w:rsidP="00804226">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04226" w:rsidRPr="00FE4166" w:rsidRDefault="00804226" w:rsidP="00804226">
                  <w:pPr>
                    <w:pStyle w:val="B3"/>
                    <w:rPr>
                      <w:sz w:val="20"/>
                      <w:szCs w:val="20"/>
                      <w:lang w:val="en-US" w:eastAsia="ko-KR"/>
                    </w:rPr>
                  </w:pPr>
                  <w:r w:rsidRPr="00FE4166">
                    <w:rPr>
                      <w:sz w:val="20"/>
                      <w:szCs w:val="20"/>
                      <w:lang w:val="en-US" w:eastAsia="ko-KR"/>
                    </w:rPr>
                    <w:lastRenderedPageBreak/>
                    <w:t>3&gt;</w:t>
                  </w:r>
                  <w:r w:rsidRPr="00FE4166">
                    <w:rPr>
                      <w:sz w:val="20"/>
                      <w:szCs w:val="20"/>
                      <w:lang w:val="en-US"/>
                    </w:rPr>
                    <w:tab/>
                    <w:t xml:space="preserve">consider all running </w:t>
                  </w:r>
                  <w:proofErr w:type="spellStart"/>
                  <w:r w:rsidRPr="00FE4166">
                    <w:rPr>
                      <w:i/>
                      <w:sz w:val="20"/>
                      <w:szCs w:val="20"/>
                      <w:lang w:val="en-US"/>
                    </w:rPr>
                    <w:t>timeAlignmentTimer</w:t>
                  </w:r>
                  <w:r w:rsidRPr="00FE4166">
                    <w:rPr>
                      <w:sz w:val="20"/>
                      <w:szCs w:val="20"/>
                      <w:lang w:val="en-US"/>
                    </w:rPr>
                    <w:t>s</w:t>
                  </w:r>
                  <w:proofErr w:type="spellEnd"/>
                  <w:r w:rsidRPr="00FE4166">
                    <w:rPr>
                      <w:sz w:val="20"/>
                      <w:szCs w:val="20"/>
                      <w:lang w:val="en-US"/>
                    </w:rPr>
                    <w:t xml:space="preserve"> as expired;</w:t>
                  </w:r>
                </w:p>
                <w:p w14:paraId="57DCA2A3" w14:textId="77777777" w:rsidR="00804226" w:rsidRPr="00FE4166" w:rsidRDefault="00804226" w:rsidP="00804226">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04226" w:rsidRPr="00804226" w:rsidRDefault="00804226" w:rsidP="007830A9">
            <w:pPr>
              <w:rPr>
                <w:rFonts w:cs="Arial"/>
                <w:snapToGrid w:val="0"/>
                <w:sz w:val="20"/>
                <w:szCs w:val="20"/>
              </w:rPr>
            </w:pPr>
          </w:p>
        </w:tc>
        <w:tc>
          <w:tcPr>
            <w:tcW w:w="4814" w:type="dxa"/>
          </w:tcPr>
          <w:p w14:paraId="2D3A4B1F" w14:textId="77777777" w:rsidR="00804226" w:rsidRDefault="00804226" w:rsidP="007830A9"/>
        </w:tc>
      </w:tr>
      <w:tr w:rsidR="00743678" w:rsidRPr="001253CB" w14:paraId="62EAE106" w14:textId="77777777" w:rsidTr="00C9097D">
        <w:tc>
          <w:tcPr>
            <w:tcW w:w="1555" w:type="dxa"/>
          </w:tcPr>
          <w:p w14:paraId="4ECA815D" w14:textId="67C77BF8" w:rsidR="00743678" w:rsidRDefault="00743678" w:rsidP="007830A9">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743678" w:rsidRPr="00743678" w:rsidRDefault="00743678"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77777777" w:rsidR="00743678" w:rsidRDefault="00743678" w:rsidP="007830A9"/>
        </w:tc>
      </w:tr>
      <w:tr w:rsidR="00544749" w:rsidRPr="001253CB" w14:paraId="66BC862F" w14:textId="77777777" w:rsidTr="00C9097D">
        <w:tc>
          <w:tcPr>
            <w:tcW w:w="1555" w:type="dxa"/>
          </w:tcPr>
          <w:p w14:paraId="49B9F4C5" w14:textId="223D88F4" w:rsidR="00544749" w:rsidRPr="00743678" w:rsidRDefault="00544749" w:rsidP="007830A9">
            <w:pPr>
              <w:rPr>
                <w:rFonts w:eastAsia="Yu Mincho" w:cs="Arial" w:hint="eastAsia"/>
                <w:snapToGrid w:val="0"/>
                <w:sz w:val="20"/>
                <w:szCs w:val="20"/>
                <w:lang w:eastAsia="ja-JP"/>
              </w:rPr>
            </w:pPr>
            <w:r>
              <w:rPr>
                <w:rFonts w:eastAsia="Yu Mincho" w:cs="Arial"/>
                <w:snapToGrid w:val="0"/>
                <w:sz w:val="20"/>
                <w:szCs w:val="20"/>
                <w:lang w:eastAsia="ja-JP"/>
              </w:rPr>
              <w:t>Lenovo</w:t>
            </w:r>
          </w:p>
        </w:tc>
        <w:tc>
          <w:tcPr>
            <w:tcW w:w="9497" w:type="dxa"/>
          </w:tcPr>
          <w:p w14:paraId="781FE440" w14:textId="77777777" w:rsidR="00544749" w:rsidRDefault="00544749" w:rsidP="00544749">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r>
              <w:rPr>
                <w:rFonts w:cs="Arial"/>
                <w:snapToGrid w:val="0"/>
                <w:sz w:val="20"/>
                <w:szCs w:val="20"/>
              </w:rPr>
              <w:t xml:space="preserve"> </w:t>
            </w:r>
          </w:p>
          <w:p w14:paraId="3CB10747" w14:textId="7A84507A" w:rsidR="00544749" w:rsidRDefault="00544749" w:rsidP="00544749">
            <w:pPr>
              <w:snapToGrid w:val="0"/>
              <w:rPr>
                <w:rFonts w:cs="Arial"/>
                <w:snapToGrid w:val="0"/>
                <w:sz w:val="20"/>
                <w:szCs w:val="20"/>
              </w:rPr>
            </w:pPr>
            <w:r>
              <w:rPr>
                <w:rFonts w:cs="Arial"/>
                <w:snapToGrid w:val="0"/>
                <w:sz w:val="20"/>
                <w:szCs w:val="20"/>
              </w:rPr>
              <w:t xml:space="preserve">For </w:t>
            </w:r>
            <w:r>
              <w:rPr>
                <w:rFonts w:cs="Arial"/>
                <w:snapToGrid w:val="0"/>
                <w:sz w:val="20"/>
                <w:szCs w:val="20"/>
              </w:rPr>
              <w:t xml:space="preserve">the CG configuration, </w:t>
            </w:r>
            <w:r>
              <w:rPr>
                <w:rFonts w:cs="Arial"/>
                <w:snapToGrid w:val="0"/>
                <w:sz w:val="20"/>
                <w:szCs w:val="20"/>
              </w:rPr>
              <w:t>it</w:t>
            </w:r>
            <w:r>
              <w:rPr>
                <w:rFonts w:cs="Arial"/>
                <w:snapToGrid w:val="0"/>
                <w:sz w:val="20"/>
                <w:szCs w:val="20"/>
              </w:rPr>
              <w:t xml:space="preserve"> can be stored as part of the INACTIVE state context in the UE</w:t>
            </w:r>
          </w:p>
          <w:p w14:paraId="7DF002F4" w14:textId="50AEFD03" w:rsidR="00544749"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For TAT, it depends on the definition of TAT for CG based solution. Generally, we prefer to introduce a new TA timer based on the further discussion on CG based solution.</w:t>
            </w:r>
          </w:p>
        </w:tc>
        <w:tc>
          <w:tcPr>
            <w:tcW w:w="4814" w:type="dxa"/>
          </w:tcPr>
          <w:p w14:paraId="7BAE3F3A" w14:textId="77777777" w:rsidR="00544749" w:rsidRDefault="00544749" w:rsidP="007830A9"/>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lastRenderedPageBreak/>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D268946" w14:textId="77777777" w:rsidR="00E945D4" w:rsidRDefault="00E945D4" w:rsidP="00E945D4">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proofErr w:type="spellStart"/>
            <w:r w:rsidR="00FC144F">
              <w:rPr>
                <w:rFonts w:cs="Arial"/>
                <w:snapToGrid w:val="0"/>
                <w:sz w:val="20"/>
                <w:szCs w:val="20"/>
              </w:rPr>
              <w:t>Mediatek</w:t>
            </w:r>
            <w:proofErr w:type="spellEnd"/>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proofErr w:type="spellStart"/>
            <w:r>
              <w:rPr>
                <w:rFonts w:eastAsia="PMingLiU" w:cs="Arial" w:hint="eastAsia"/>
                <w:snapToGrid w:val="0"/>
                <w:sz w:val="20"/>
                <w:szCs w:val="20"/>
                <w:lang w:eastAsia="zh-TW"/>
              </w:rPr>
              <w:lastRenderedPageBreak/>
              <w:t>ASUSTeK</w:t>
            </w:r>
            <w:proofErr w:type="spellEnd"/>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r w:rsidR="00804226" w14:paraId="630D32C0" w14:textId="77777777" w:rsidTr="00C9097D">
        <w:tc>
          <w:tcPr>
            <w:tcW w:w="1555" w:type="dxa"/>
          </w:tcPr>
          <w:p w14:paraId="36718345" w14:textId="314A6594"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77777777" w:rsidR="00804226" w:rsidRDefault="00804226" w:rsidP="007830A9"/>
        </w:tc>
      </w:tr>
      <w:tr w:rsidR="000A363B" w14:paraId="682C690E" w14:textId="77777777" w:rsidTr="00C9097D">
        <w:tc>
          <w:tcPr>
            <w:tcW w:w="1555" w:type="dxa"/>
          </w:tcPr>
          <w:p w14:paraId="118300FA" w14:textId="0F341D6E" w:rsidR="000A363B" w:rsidRPr="000A363B" w:rsidRDefault="000A363B"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0A363B" w:rsidRDefault="000A363B" w:rsidP="007830A9">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77777777" w:rsidR="000A363B" w:rsidRDefault="000A363B" w:rsidP="007830A9"/>
        </w:tc>
      </w:tr>
      <w:tr w:rsidR="00544749" w14:paraId="241DCE71" w14:textId="77777777" w:rsidTr="00C9097D">
        <w:tc>
          <w:tcPr>
            <w:tcW w:w="1555" w:type="dxa"/>
          </w:tcPr>
          <w:p w14:paraId="3FD3B0B9" w14:textId="60556E7C" w:rsidR="00544749" w:rsidRDefault="00544749"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72F891E" w14:textId="2793940C" w:rsidR="00544749" w:rsidRDefault="00544749" w:rsidP="007830A9">
            <w:pPr>
              <w:snapToGrid w:val="0"/>
              <w:rPr>
                <w:rFonts w:eastAsia="Malgun Gothic" w:cs="Arial" w:hint="eastAsia"/>
                <w:snapToGrid w:val="0"/>
                <w:sz w:val="20"/>
                <w:szCs w:val="20"/>
              </w:rPr>
            </w:pPr>
            <w:r>
              <w:rPr>
                <w:rFonts w:eastAsia="Malgun Gothic" w:cs="Arial"/>
                <w:snapToGrid w:val="0"/>
                <w:sz w:val="20"/>
                <w:szCs w:val="20"/>
              </w:rPr>
              <w:t>Yes, the existing UAC could be reused.</w:t>
            </w:r>
          </w:p>
        </w:tc>
        <w:tc>
          <w:tcPr>
            <w:tcW w:w="4814" w:type="dxa"/>
          </w:tcPr>
          <w:p w14:paraId="35AC0A8F" w14:textId="77777777" w:rsidR="00544749" w:rsidRDefault="00544749" w:rsidP="007830A9"/>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w:t>
            </w:r>
            <w:proofErr w:type="gramStart"/>
            <w:r>
              <w:rPr>
                <w:rFonts w:cs="Arial"/>
                <w:snapToGrid w:val="0"/>
                <w:sz w:val="20"/>
                <w:szCs w:val="20"/>
              </w:rPr>
              <w:t>But definitely, there</w:t>
            </w:r>
            <w:proofErr w:type="gramEnd"/>
            <w:r>
              <w:rPr>
                <w:rFonts w:cs="Arial"/>
                <w:snapToGrid w:val="0"/>
                <w:sz w:val="20"/>
                <w:szCs w:val="20"/>
              </w:rPr>
              <w:t xml:space="preserv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w:t>
            </w:r>
            <w:proofErr w:type="gramStart"/>
            <w:r>
              <w:rPr>
                <w:rFonts w:cs="Arial"/>
                <w:snapToGrid w:val="0"/>
                <w:sz w:val="20"/>
                <w:szCs w:val="20"/>
              </w:rPr>
              <w:t>particular network</w:t>
            </w:r>
            <w:proofErr w:type="gramEnd"/>
            <w:r>
              <w:rPr>
                <w:rFonts w:cs="Arial"/>
                <w:snapToGrid w:val="0"/>
                <w:sz w:val="20"/>
                <w:szCs w:val="20"/>
              </w:rPr>
              <w:t xml:space="preserve">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UE should at least resume the DRBs subjecting to SDT when the procedure is initiated. In addition, we should further discuss whether it </w:t>
            </w:r>
            <w:proofErr w:type="gramStart"/>
            <w:r>
              <w:rPr>
                <w:rFonts w:eastAsiaTheme="minorEastAsia" w:cs="Arial"/>
                <w:snapToGrid w:val="0"/>
                <w:sz w:val="20"/>
                <w:szCs w:val="20"/>
                <w:lang w:eastAsia="zh-CN"/>
              </w:rPr>
              <w:t>is allowed to</w:t>
            </w:r>
            <w:proofErr w:type="gramEnd"/>
            <w:r>
              <w:rPr>
                <w:rFonts w:eastAsiaTheme="minorEastAsia" w:cs="Arial"/>
                <w:snapToGrid w:val="0"/>
                <w:sz w:val="20"/>
                <w:szCs w:val="20"/>
                <w:lang w:eastAsia="zh-CN"/>
              </w:rPr>
              <w:t xml:space="preserve">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w:t>
            </w:r>
            <w:r w:rsidRPr="0072635B">
              <w:rPr>
                <w:rFonts w:eastAsiaTheme="minorEastAsia" w:cs="Arial" w:hint="eastAsia"/>
                <w:snapToGrid w:val="0"/>
                <w:sz w:val="20"/>
                <w:szCs w:val="20"/>
                <w:lang w:eastAsia="zh-CN"/>
              </w:rPr>
              <w:lastRenderedPageBreak/>
              <w:t xml:space="preserve">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 xml:space="preserve">upon initiating SDT procedure, at least DRBs configured with SDT and with new data </w:t>
            </w:r>
            <w:r>
              <w:rPr>
                <w:rFonts w:eastAsiaTheme="minorEastAsia" w:cs="Arial"/>
                <w:snapToGrid w:val="0"/>
                <w:sz w:val="20"/>
                <w:szCs w:val="20"/>
                <w:lang w:eastAsia="zh-CN"/>
              </w:rPr>
              <w:lastRenderedPageBreak/>
              <w:t xml:space="preserve">arriving should be resumed, and the PDCP entities of the DRBs should be re-established </w:t>
            </w:r>
            <w:proofErr w:type="gramStart"/>
            <w:r>
              <w:rPr>
                <w:rFonts w:eastAsiaTheme="minorEastAsia" w:cs="Arial"/>
                <w:snapToGrid w:val="0"/>
                <w:sz w:val="20"/>
                <w:szCs w:val="20"/>
                <w:lang w:eastAsia="zh-CN"/>
              </w:rPr>
              <w:t>so as to</w:t>
            </w:r>
            <w:proofErr w:type="gramEnd"/>
            <w:r>
              <w:rPr>
                <w:rFonts w:eastAsiaTheme="minorEastAsia" w:cs="Arial"/>
                <w:snapToGrid w:val="0"/>
                <w:sz w:val="20"/>
                <w:szCs w:val="20"/>
                <w:lang w:eastAsia="zh-CN"/>
              </w:rPr>
              <w:t xml:space="preserve">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r w:rsidR="00804226" w14:paraId="62B48878" w14:textId="77777777" w:rsidTr="00C9097D">
        <w:tc>
          <w:tcPr>
            <w:tcW w:w="1555" w:type="dxa"/>
          </w:tcPr>
          <w:p w14:paraId="1043CBA0" w14:textId="771F24B8" w:rsidR="00804226" w:rsidRPr="00804226" w:rsidRDefault="00804226" w:rsidP="00CD4BD2">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533F124"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lso don’t get why re-establishment is needed. According to the current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xml:space="preserve"> description in TS38.331, only SRB1 is resumed after PDCP re-establishment for SRB1 the conveying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On top of this, DRBs behaviors need to be discussed.</w:t>
            </w:r>
          </w:p>
          <w:p w14:paraId="13E763E9" w14:textId="74B6CA7E" w:rsidR="00804226" w:rsidRPr="00CD4BD2" w:rsidRDefault="00804226" w:rsidP="0080422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xml:space="preserve">- Whether to resume all DRBs or only DRBs configured with DRBs =&gt; Only DRBs configured with SDT. If all DRBs need to be resumed, then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should send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to incur state transition from INACTIVE to CONNECTED.</w:t>
            </w:r>
            <w:r>
              <w:rPr>
                <w:rFonts w:eastAsia="Yu Mincho" w:cs="Arial"/>
                <w:snapToGrid w:val="0"/>
                <w:sz w:val="20"/>
                <w:szCs w:val="20"/>
                <w:lang w:eastAsia="ja-JP"/>
              </w:rPr>
              <w:br/>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7777777" w:rsidR="00804226" w:rsidRDefault="00804226" w:rsidP="00CD4BD2"/>
        </w:tc>
      </w:tr>
      <w:tr w:rsidR="00CA67B2" w14:paraId="5BBCAD2A" w14:textId="77777777" w:rsidTr="00C9097D">
        <w:tc>
          <w:tcPr>
            <w:tcW w:w="1555" w:type="dxa"/>
          </w:tcPr>
          <w:p w14:paraId="216FAD92" w14:textId="30539A37" w:rsidR="00CA67B2" w:rsidRPr="00CA67B2" w:rsidRDefault="00CA67B2" w:rsidP="00CD4BD2">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CA67B2" w:rsidRPr="00CA67B2" w:rsidRDefault="00CA67B2"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7777777" w:rsidR="00CA67B2" w:rsidRDefault="00CA67B2" w:rsidP="00CD4BD2"/>
        </w:tc>
      </w:tr>
      <w:tr w:rsidR="00544749" w14:paraId="7F25C077" w14:textId="77777777" w:rsidTr="00C9097D">
        <w:tc>
          <w:tcPr>
            <w:tcW w:w="1555" w:type="dxa"/>
          </w:tcPr>
          <w:p w14:paraId="6349B4C4" w14:textId="4EC51D00" w:rsidR="00544749" w:rsidRDefault="00544749" w:rsidP="00CD4BD2">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DA8A49D" w14:textId="44FA397B" w:rsidR="00AB6B3F"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r w:rsidR="00AB6B3F">
              <w:rPr>
                <w:rFonts w:eastAsiaTheme="minorEastAsia" w:cs="Arial"/>
                <w:snapToGrid w:val="0"/>
                <w:sz w:val="20"/>
                <w:szCs w:val="20"/>
                <w:lang w:eastAsia="zh-CN"/>
              </w:rPr>
              <w:t xml:space="preserve">DRBs for SDT should be resumed. For the </w:t>
            </w:r>
            <w:r w:rsidR="00AB6B3F">
              <w:rPr>
                <w:rFonts w:eastAsiaTheme="minorEastAsia" w:cs="Arial" w:hint="eastAsia"/>
                <w:snapToGrid w:val="0"/>
                <w:sz w:val="20"/>
                <w:szCs w:val="20"/>
                <w:lang w:eastAsia="zh-CN"/>
              </w:rPr>
              <w:t>DRBs</w:t>
            </w:r>
            <w:r w:rsidR="00AB6B3F">
              <w:rPr>
                <w:rFonts w:eastAsiaTheme="minorEastAsia" w:cs="Arial"/>
                <w:snapToGrid w:val="0"/>
                <w:sz w:val="20"/>
                <w:szCs w:val="20"/>
                <w:lang w:eastAsia="zh-CN"/>
              </w:rPr>
              <w:t xml:space="preserve"> not for</w:t>
            </w:r>
            <w:r w:rsidR="00A761F3">
              <w:rPr>
                <w:rFonts w:eastAsiaTheme="minorEastAsia" w:cs="Arial"/>
                <w:snapToGrid w:val="0"/>
                <w:sz w:val="20"/>
                <w:szCs w:val="20"/>
                <w:lang w:eastAsia="zh-CN"/>
              </w:rPr>
              <w:t xml:space="preserve"> </w:t>
            </w:r>
            <w:r w:rsidR="00AB6B3F">
              <w:rPr>
                <w:rFonts w:eastAsiaTheme="minorEastAsia" w:cs="Arial"/>
                <w:snapToGrid w:val="0"/>
                <w:sz w:val="20"/>
                <w:szCs w:val="20"/>
                <w:lang w:eastAsia="zh-CN"/>
              </w:rPr>
              <w:t xml:space="preserve">SDT, </w:t>
            </w:r>
            <w:r w:rsidR="00A761F3">
              <w:rPr>
                <w:rFonts w:eastAsiaTheme="minorEastAsia" w:cs="Arial"/>
                <w:snapToGrid w:val="0"/>
                <w:sz w:val="20"/>
                <w:szCs w:val="20"/>
                <w:lang w:eastAsia="zh-CN"/>
              </w:rPr>
              <w:t>we need to further discuss it considering it is beneficial to report BSR of all DRB.</w:t>
            </w:r>
          </w:p>
        </w:tc>
        <w:tc>
          <w:tcPr>
            <w:tcW w:w="4814" w:type="dxa"/>
          </w:tcPr>
          <w:p w14:paraId="69BFD39B" w14:textId="77777777" w:rsidR="00544749" w:rsidRDefault="00544749" w:rsidP="00CD4BD2"/>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65F55E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af9"/>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so that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For RRC based, the first UL message must contain the CCCH (</w:t>
            </w:r>
            <w:proofErr w:type="spellStart"/>
            <w:r w:rsidRPr="00CD4BD2">
              <w:rPr>
                <w:rFonts w:eastAsia="PMingLiU" w:cs="Arial"/>
                <w:snapToGrid w:val="0"/>
                <w:sz w:val="20"/>
                <w:szCs w:val="20"/>
                <w:lang w:eastAsia="zh-TW"/>
              </w:rPr>
              <w:t>RRCResumeRequest</w:t>
            </w:r>
            <w:proofErr w:type="spellEnd"/>
            <w:r w:rsidRPr="00CD4BD2">
              <w:rPr>
                <w:rFonts w:eastAsia="PMingLiU" w:cs="Arial"/>
                <w:snapToGrid w:val="0"/>
                <w:sz w:val="20"/>
                <w:szCs w:val="20"/>
                <w:lang w:eastAsia="zh-TW"/>
              </w:rPr>
              <w:t xml:space="preserve">)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r w:rsidR="00804226" w14:paraId="6D58741F" w14:textId="77777777" w:rsidTr="00C9097D">
        <w:tc>
          <w:tcPr>
            <w:tcW w:w="1555" w:type="dxa"/>
          </w:tcPr>
          <w:p w14:paraId="0D164A6A" w14:textId="53B400B0"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804226" w:rsidRPr="00CD4BD2" w:rsidRDefault="00804226" w:rsidP="00CD4BD2">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77777777" w:rsidR="00804226" w:rsidRDefault="00804226" w:rsidP="00CD4BD2"/>
        </w:tc>
      </w:tr>
      <w:tr w:rsidR="00CA67B2" w14:paraId="0B73EA2F" w14:textId="77777777" w:rsidTr="00C9097D">
        <w:tc>
          <w:tcPr>
            <w:tcW w:w="1555" w:type="dxa"/>
          </w:tcPr>
          <w:p w14:paraId="2FB466F3" w14:textId="6AC422CE"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CA67B2" w:rsidRPr="00CA67B2" w:rsidRDefault="00CA67B2" w:rsidP="00CD4BD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 ,</w:t>
            </w:r>
            <w:proofErr w:type="gramEnd"/>
            <w:r>
              <w:rPr>
                <w:rFonts w:eastAsiaTheme="minorEastAsia" w:cs="Arial"/>
                <w:snapToGrid w:val="0"/>
                <w:sz w:val="20"/>
                <w:szCs w:val="20"/>
                <w:lang w:eastAsia="zh-CN"/>
              </w:rPr>
              <w:t xml:space="preserve"> we think MAC CE is only contained if necessary</w:t>
            </w:r>
          </w:p>
        </w:tc>
        <w:tc>
          <w:tcPr>
            <w:tcW w:w="4814" w:type="dxa"/>
          </w:tcPr>
          <w:p w14:paraId="065524DD" w14:textId="77777777" w:rsidR="00CA67B2" w:rsidRDefault="00CA67B2" w:rsidP="00CD4BD2"/>
        </w:tc>
      </w:tr>
      <w:tr w:rsidR="00A761F3" w14:paraId="20A651DA" w14:textId="77777777" w:rsidTr="00C9097D">
        <w:tc>
          <w:tcPr>
            <w:tcW w:w="1555" w:type="dxa"/>
          </w:tcPr>
          <w:p w14:paraId="6DB60EFA" w14:textId="018D1199"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Lenovo</w:t>
            </w:r>
          </w:p>
        </w:tc>
        <w:tc>
          <w:tcPr>
            <w:tcW w:w="9497" w:type="dxa"/>
          </w:tcPr>
          <w:p w14:paraId="7C696F6C" w14:textId="10A14FF6"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3E483EF" w14:textId="77777777" w:rsidR="00A761F3" w:rsidRDefault="00A761F3" w:rsidP="00CD4BD2"/>
        </w:tc>
      </w:tr>
    </w:tbl>
    <w:p w14:paraId="6425D55F" w14:textId="77777777" w:rsidR="00D55952" w:rsidRDefault="00D55952">
      <w:pPr>
        <w:rPr>
          <w:sz w:val="20"/>
          <w:szCs w:val="20"/>
          <w:lang w:val="en-GB" w:eastAsia="zh-CN"/>
        </w:rPr>
      </w:pPr>
    </w:p>
    <w:p w14:paraId="1A778C8F" w14:textId="77777777" w:rsidR="00D55952" w:rsidRDefault="0072635B">
      <w:pPr>
        <w:pStyle w:val="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sidRPr="00C562EF">
              <w:rPr>
                <w:rFonts w:cs="Arial"/>
                <w:b/>
                <w:bCs/>
                <w:snapToGrid w:val="0"/>
                <w:sz w:val="11"/>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r w:rsidR="00804226" w14:paraId="6E965FD7" w14:textId="77777777" w:rsidTr="00C9097D">
        <w:tc>
          <w:tcPr>
            <w:tcW w:w="1555" w:type="dxa"/>
          </w:tcPr>
          <w:p w14:paraId="78415F04" w14:textId="3335CF1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77777777" w:rsidR="00804226" w:rsidRDefault="00804226" w:rsidP="00CD4BD2">
            <w:pPr>
              <w:snapToGrid w:val="0"/>
              <w:rPr>
                <w:rFonts w:cs="Arial"/>
                <w:b/>
                <w:bCs/>
                <w:snapToGrid w:val="0"/>
                <w:sz w:val="20"/>
                <w:szCs w:val="20"/>
              </w:rPr>
            </w:pPr>
          </w:p>
        </w:tc>
      </w:tr>
      <w:tr w:rsidR="0036079F" w14:paraId="14AE88B2" w14:textId="77777777" w:rsidTr="00C9097D">
        <w:tc>
          <w:tcPr>
            <w:tcW w:w="1555" w:type="dxa"/>
          </w:tcPr>
          <w:p w14:paraId="6496C321" w14:textId="1AF6389D"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77777777" w:rsidR="0036079F" w:rsidRDefault="0036079F" w:rsidP="00CD4BD2">
            <w:pPr>
              <w:snapToGrid w:val="0"/>
              <w:rPr>
                <w:rFonts w:cs="Arial"/>
                <w:b/>
                <w:bCs/>
                <w:snapToGrid w:val="0"/>
                <w:sz w:val="20"/>
                <w:szCs w:val="20"/>
              </w:rPr>
            </w:pPr>
          </w:p>
        </w:tc>
      </w:tr>
      <w:tr w:rsidR="00A761F3" w14:paraId="3464A869" w14:textId="77777777" w:rsidTr="00C9097D">
        <w:tc>
          <w:tcPr>
            <w:tcW w:w="1555" w:type="dxa"/>
          </w:tcPr>
          <w:p w14:paraId="17EC888A" w14:textId="0A2B4908"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83ED06D" w14:textId="399D6550" w:rsidR="00A761F3" w:rsidRDefault="00A761F3" w:rsidP="00CD4BD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CCECB93" w14:textId="77777777" w:rsidR="00A761F3" w:rsidRDefault="00A761F3" w:rsidP="00CD4BD2">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lastRenderedPageBreak/>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lastRenderedPageBreak/>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w:t>
            </w:r>
            <w:proofErr w:type="spellStart"/>
            <w:r>
              <w:rPr>
                <w:rFonts w:cs="Arial"/>
                <w:snapToGrid w:val="0"/>
                <w:sz w:val="20"/>
                <w:szCs w:val="20"/>
              </w:rPr>
              <w:t>RRCless</w:t>
            </w:r>
            <w:proofErr w:type="spellEnd"/>
            <w:r>
              <w:rPr>
                <w:rFonts w:cs="Arial"/>
                <w:snapToGrid w:val="0"/>
                <w:sz w:val="20"/>
                <w:szCs w:val="20"/>
              </w:rPr>
              <w:t xml:space="preserve">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r w:rsidR="00804226" w:rsidRPr="00834B91" w14:paraId="2791F543" w14:textId="77777777" w:rsidTr="00C9097D">
        <w:tc>
          <w:tcPr>
            <w:tcW w:w="1555" w:type="dxa"/>
          </w:tcPr>
          <w:p w14:paraId="0FB8F839" w14:textId="560CE256"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77777777" w:rsidR="00804226" w:rsidRDefault="00804226" w:rsidP="00CD4BD2">
            <w:pPr>
              <w:snapToGrid w:val="0"/>
              <w:rPr>
                <w:rFonts w:cs="Arial"/>
                <w:b/>
                <w:bCs/>
                <w:snapToGrid w:val="0"/>
                <w:sz w:val="20"/>
                <w:szCs w:val="20"/>
              </w:rPr>
            </w:pPr>
          </w:p>
        </w:tc>
      </w:tr>
      <w:tr w:rsidR="00A73418" w:rsidRPr="00834B91" w14:paraId="5725F780" w14:textId="77777777" w:rsidTr="00C9097D">
        <w:tc>
          <w:tcPr>
            <w:tcW w:w="1555" w:type="dxa"/>
          </w:tcPr>
          <w:p w14:paraId="63855ED8" w14:textId="291B8535"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E94698D" w14:textId="77CED159"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77777777" w:rsidR="00A73418" w:rsidRDefault="00A73418" w:rsidP="00CD4BD2">
            <w:pPr>
              <w:snapToGrid w:val="0"/>
              <w:rPr>
                <w:rFonts w:cs="Arial"/>
                <w:b/>
                <w:bCs/>
                <w:snapToGrid w:val="0"/>
                <w:sz w:val="20"/>
                <w:szCs w:val="20"/>
              </w:rPr>
            </w:pPr>
          </w:p>
        </w:tc>
      </w:tr>
      <w:tr w:rsidR="00E138DC" w:rsidRPr="00834B91" w14:paraId="1190DF04" w14:textId="77777777" w:rsidTr="00C9097D">
        <w:tc>
          <w:tcPr>
            <w:tcW w:w="1555" w:type="dxa"/>
          </w:tcPr>
          <w:p w14:paraId="1E1421E2" w14:textId="0365016F"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5648BE2" w14:textId="66D860DB"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D571A17" w14:textId="77777777" w:rsidR="00E138DC" w:rsidRDefault="00E138DC" w:rsidP="00CD4BD2">
            <w:pPr>
              <w:snapToGrid w:val="0"/>
              <w:rPr>
                <w:rFonts w:cs="Arial"/>
                <w:b/>
                <w:bCs/>
                <w:snapToGrid w:val="0"/>
                <w:sz w:val="20"/>
                <w:szCs w:val="20"/>
              </w:rPr>
            </w:pPr>
          </w:p>
        </w:tc>
      </w:tr>
    </w:tbl>
    <w:p w14:paraId="02462E00" w14:textId="77777777" w:rsidR="00C9097D" w:rsidRDefault="00C9097D" w:rsidP="00C9097D">
      <w:pPr>
        <w:pStyle w:val="2"/>
        <w:numPr>
          <w:ilvl w:val="0"/>
          <w:numId w:val="0"/>
        </w:numPr>
        <w:rPr>
          <w:snapToGrid w:val="0"/>
          <w:lang w:val="en-GB"/>
        </w:rPr>
      </w:pPr>
    </w:p>
    <w:p w14:paraId="595F6FC5" w14:textId="77777777" w:rsidR="00C9097D" w:rsidRPr="00C9097D" w:rsidRDefault="00C9097D" w:rsidP="00C9097D">
      <w:pPr>
        <w:rPr>
          <w:lang w:val="en-GB" w:eastAsia="zh-CN"/>
        </w:rPr>
      </w:pPr>
    </w:p>
    <w:p w14:paraId="3D4FB422" w14:textId="77777777" w:rsidR="00D55952" w:rsidRDefault="0072635B">
      <w:pPr>
        <w:pStyle w:val="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lastRenderedPageBreak/>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1F81685" w14:textId="77777777" w:rsidR="00D55952" w:rsidRDefault="0072635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w:t>
            </w:r>
            <w:proofErr w:type="gramStart"/>
            <w:r w:rsidRPr="005D5618">
              <w:rPr>
                <w:rFonts w:eastAsiaTheme="minorEastAsia" w:cs="Arial"/>
                <w:snapToGrid w:val="0"/>
                <w:sz w:val="20"/>
                <w:szCs w:val="20"/>
                <w:lang w:eastAsia="zh-CN"/>
              </w:rPr>
              <w:t>is allowed to</w:t>
            </w:r>
            <w:proofErr w:type="gramEnd"/>
            <w:r w:rsidRPr="005D5618">
              <w:rPr>
                <w:rFonts w:eastAsiaTheme="minorEastAsia" w:cs="Arial"/>
                <w:snapToGrid w:val="0"/>
                <w:sz w:val="20"/>
                <w:szCs w:val="20"/>
                <w:lang w:eastAsia="zh-CN"/>
              </w:rPr>
              <w:t xml:space="preserve">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F</w:t>
            </w:r>
            <w:r>
              <w:rPr>
                <w:rFonts w:eastAsiaTheme="minorEastAsia" w:cs="Arial"/>
                <w:snapToGrid w:val="0"/>
                <w:sz w:val="20"/>
                <w:szCs w:val="20"/>
                <w:lang w:eastAsia="zh-CN"/>
              </w:rPr>
              <w:t>irst of all</w:t>
            </w:r>
            <w:proofErr w:type="gramEnd"/>
            <w:r>
              <w:rPr>
                <w:rFonts w:eastAsiaTheme="minorEastAsia" w:cs="Arial"/>
                <w:snapToGrid w:val="0"/>
                <w:sz w:val="20"/>
                <w:szCs w:val="20"/>
                <w:lang w:eastAsia="zh-CN"/>
              </w:rPr>
              <w:t>,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w:t>
            </w:r>
            <w:r w:rsidRPr="00BD7764">
              <w:rPr>
                <w:snapToGrid w:val="0"/>
                <w:color w:val="000000" w:themeColor="text1"/>
                <w:sz w:val="20"/>
                <w:szCs w:val="20"/>
              </w:rPr>
              <w:lastRenderedPageBreak/>
              <w:t xml:space="preserve">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43611E77" w:rsidR="00CD4BD2" w:rsidRDefault="00CD4BD2" w:rsidP="00CD4BD2">
            <w:pPr>
              <w:snapToGrid w:val="0"/>
              <w:rPr>
                <w:rFonts w:cs="Arial"/>
                <w:snapToGrid w:val="0"/>
                <w:sz w:val="20"/>
                <w:szCs w:val="20"/>
              </w:rPr>
            </w:pPr>
            <w:r>
              <w:rPr>
                <w:rFonts w:cs="Arial"/>
                <w:snapToGrid w:val="0"/>
                <w:sz w:val="20"/>
                <w:szCs w:val="20"/>
              </w:rPr>
              <w:t xml:space="preserve">Yes </w:t>
            </w:r>
            <w:r w:rsidR="00E138DC">
              <w:rPr>
                <w:rFonts w:cs="Arial"/>
                <w:snapToGrid w:val="0"/>
                <w:sz w:val="20"/>
                <w:szCs w:val="20"/>
              </w:rPr>
              <w:t>–</w:t>
            </w:r>
            <w:r>
              <w:rPr>
                <w:rFonts w:cs="Arial"/>
                <w:snapToGrid w:val="0"/>
                <w:sz w:val="20"/>
                <w:szCs w:val="20"/>
              </w:rPr>
              <w:t xml:space="preserve"> on this </w:t>
            </w:r>
            <w:proofErr w:type="gramStart"/>
            <w:r>
              <w:rPr>
                <w:rFonts w:cs="Arial"/>
                <w:snapToGrid w:val="0"/>
                <w:sz w:val="20"/>
                <w:szCs w:val="20"/>
              </w:rPr>
              <w:t>particular aspect</w:t>
            </w:r>
            <w:proofErr w:type="gramEnd"/>
            <w:r>
              <w:rPr>
                <w:rFonts w:cs="Arial"/>
                <w:snapToGrid w:val="0"/>
                <w:sz w:val="20"/>
                <w:szCs w:val="20"/>
              </w:rPr>
              <w:t xml:space="preserve">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r w:rsidR="00804226" w14:paraId="027EE0BF" w14:textId="77777777" w:rsidTr="00C9097D">
        <w:tc>
          <w:tcPr>
            <w:tcW w:w="1555" w:type="dxa"/>
          </w:tcPr>
          <w:p w14:paraId="1ABCCEA0" w14:textId="40035B0D"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84F865F" w14:textId="5AD5B85C" w:rsidR="00804226" w:rsidRDefault="00804226" w:rsidP="00CD4BD2">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7DE2D7D4" w14:textId="77777777" w:rsidR="00804226" w:rsidRDefault="00804226" w:rsidP="00CD4BD2">
            <w:pPr>
              <w:snapToGrid w:val="0"/>
              <w:rPr>
                <w:rFonts w:cs="Arial"/>
                <w:b/>
                <w:bCs/>
                <w:snapToGrid w:val="0"/>
                <w:sz w:val="20"/>
                <w:szCs w:val="20"/>
              </w:rPr>
            </w:pPr>
          </w:p>
        </w:tc>
      </w:tr>
      <w:tr w:rsidR="00D93052" w14:paraId="5A5BC69C" w14:textId="77777777" w:rsidTr="00C9097D">
        <w:tc>
          <w:tcPr>
            <w:tcW w:w="1555" w:type="dxa"/>
          </w:tcPr>
          <w:p w14:paraId="67201DA7" w14:textId="25E08275"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6A911191" w14:textId="77777777" w:rsidR="00D93052" w:rsidRDefault="00D93052" w:rsidP="00CD4BD2">
            <w:pPr>
              <w:snapToGrid w:val="0"/>
              <w:rPr>
                <w:rFonts w:cs="Arial"/>
                <w:b/>
                <w:bCs/>
                <w:snapToGrid w:val="0"/>
                <w:sz w:val="20"/>
                <w:szCs w:val="20"/>
              </w:rPr>
            </w:pPr>
          </w:p>
        </w:tc>
      </w:tr>
      <w:tr w:rsidR="00E138DC" w14:paraId="06E24CC8" w14:textId="77777777" w:rsidTr="00C9097D">
        <w:tc>
          <w:tcPr>
            <w:tcW w:w="1555" w:type="dxa"/>
          </w:tcPr>
          <w:p w14:paraId="3FECFE87" w14:textId="58E0F470"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370EC40" w14:textId="76365E52" w:rsidR="00E138DC" w:rsidRDefault="00E138DC" w:rsidP="00E138DC">
            <w:pPr>
              <w:snapToGrid w:val="0"/>
              <w:rPr>
                <w:rFonts w:cs="Arial"/>
                <w:b/>
                <w:bCs/>
                <w:snapToGrid w:val="0"/>
                <w:sz w:val="20"/>
                <w:szCs w:val="20"/>
              </w:rPr>
            </w:pPr>
            <w:r>
              <w:rPr>
                <w:rFonts w:eastAsiaTheme="minorEastAsia" w:cs="Arial"/>
                <w:snapToGrid w:val="0"/>
                <w:sz w:val="20"/>
                <w:szCs w:val="20"/>
                <w:lang w:eastAsia="zh-CN"/>
              </w:rPr>
              <w:t>Yes, generally, it is a baseline to use a C-</w:t>
            </w:r>
            <w:r w:rsidRPr="00E138DC">
              <w:rPr>
                <w:rFonts w:eastAsiaTheme="minorEastAsia" w:cs="Arial"/>
                <w:snapToGrid w:val="0"/>
                <w:sz w:val="20"/>
                <w:szCs w:val="20"/>
                <w:lang w:eastAsia="zh-CN"/>
              </w:rPr>
              <w:t>RNTI search space for further UL and DL scheduling from the network</w:t>
            </w:r>
            <w:r w:rsidRPr="00E138DC">
              <w:rPr>
                <w:rFonts w:eastAsiaTheme="minorEastAsia" w:cs="Arial"/>
                <w:snapToGrid w:val="0"/>
                <w:sz w:val="20"/>
                <w:szCs w:val="20"/>
                <w:lang w:eastAsia="zh-CN"/>
              </w:rPr>
              <w:t>.</w:t>
            </w:r>
            <w:r>
              <w:rPr>
                <w:rFonts w:cs="Arial"/>
                <w:b/>
                <w:bCs/>
                <w:snapToGrid w:val="0"/>
                <w:sz w:val="20"/>
                <w:szCs w:val="20"/>
              </w:rPr>
              <w:t xml:space="preserve"> </w:t>
            </w:r>
          </w:p>
          <w:p w14:paraId="1E2403CE" w14:textId="77777777" w:rsidR="00E138DC" w:rsidRDefault="00E138DC" w:rsidP="00E138DC">
            <w:pPr>
              <w:snapToGrid w:val="0"/>
              <w:rPr>
                <w:rFonts w:cs="Arial"/>
                <w:snapToGrid w:val="0"/>
                <w:sz w:val="20"/>
                <w:szCs w:val="20"/>
              </w:rPr>
            </w:pPr>
          </w:p>
          <w:p w14:paraId="01ED600E" w14:textId="66B2C449" w:rsidR="00E138DC" w:rsidRDefault="00E138DC" w:rsidP="00CD4BD2">
            <w:pPr>
              <w:snapToGrid w:val="0"/>
              <w:rPr>
                <w:rFonts w:eastAsiaTheme="minorEastAsia" w:cs="Arial"/>
                <w:snapToGrid w:val="0"/>
                <w:sz w:val="20"/>
                <w:szCs w:val="20"/>
                <w:lang w:eastAsia="zh-CN"/>
              </w:rPr>
            </w:pPr>
          </w:p>
        </w:tc>
        <w:tc>
          <w:tcPr>
            <w:tcW w:w="4814" w:type="dxa"/>
          </w:tcPr>
          <w:p w14:paraId="0A8AB8DA" w14:textId="77777777" w:rsidR="00E138DC" w:rsidRDefault="00E138DC" w:rsidP="00CD4BD2">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lastRenderedPageBreak/>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 xml:space="preserve">Yes, </w:t>
            </w:r>
            <w:proofErr w:type="gramStart"/>
            <w:r>
              <w:rPr>
                <w:rFonts w:cs="Arial"/>
                <w:snapToGrid w:val="0"/>
                <w:sz w:val="20"/>
                <w:szCs w:val="20"/>
              </w:rPr>
              <w:t>with regard to</w:t>
            </w:r>
            <w:proofErr w:type="gramEnd"/>
            <w:r>
              <w:rPr>
                <w:rFonts w:cs="Arial"/>
                <w:snapToGrid w:val="0"/>
                <w:sz w:val="20"/>
                <w:szCs w:val="20"/>
              </w:rPr>
              <w:t xml:space="preserve">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r w:rsidR="00804226" w14:paraId="4B59BE07" w14:textId="77777777" w:rsidTr="00C20B25">
        <w:tc>
          <w:tcPr>
            <w:tcW w:w="1555" w:type="dxa"/>
          </w:tcPr>
          <w:p w14:paraId="65B14E1C" w14:textId="0A1BDFF3"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0582A006" w:rsidR="00804226" w:rsidRDefault="00804226" w:rsidP="00804226">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77777777" w:rsidR="00804226" w:rsidRDefault="00804226" w:rsidP="00804226">
            <w:pPr>
              <w:snapToGrid w:val="0"/>
              <w:rPr>
                <w:rFonts w:cs="Arial"/>
                <w:b/>
                <w:bCs/>
                <w:snapToGrid w:val="0"/>
                <w:sz w:val="20"/>
                <w:szCs w:val="20"/>
              </w:rPr>
            </w:pPr>
          </w:p>
        </w:tc>
      </w:tr>
      <w:tr w:rsidR="00C114F7" w14:paraId="6827BF25" w14:textId="77777777" w:rsidTr="00C20B25">
        <w:tc>
          <w:tcPr>
            <w:tcW w:w="1555" w:type="dxa"/>
          </w:tcPr>
          <w:p w14:paraId="5BCB3A13" w14:textId="06A901EC"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w:t>
            </w:r>
            <w:r w:rsidR="00DC3743">
              <w:rPr>
                <w:rFonts w:eastAsiaTheme="minorEastAsia" w:cs="Arial"/>
                <w:snapToGrid w:val="0"/>
                <w:sz w:val="20"/>
                <w:szCs w:val="20"/>
                <w:lang w:eastAsia="zh-CN"/>
              </w:rPr>
              <w:t xml:space="preserve"> for UE</w:t>
            </w:r>
            <w:r>
              <w:rPr>
                <w:rFonts w:eastAsiaTheme="minorEastAsia" w:cs="Arial"/>
                <w:snapToGrid w:val="0"/>
                <w:sz w:val="20"/>
                <w:szCs w:val="20"/>
                <w:lang w:eastAsia="zh-CN"/>
              </w:rPr>
              <w:t>, RAN2 should firstly confirm this.</w:t>
            </w:r>
          </w:p>
        </w:tc>
        <w:tc>
          <w:tcPr>
            <w:tcW w:w="4814" w:type="dxa"/>
          </w:tcPr>
          <w:p w14:paraId="2B7CA737" w14:textId="77777777" w:rsidR="00C114F7" w:rsidRDefault="00C114F7" w:rsidP="00804226">
            <w:pPr>
              <w:snapToGrid w:val="0"/>
              <w:rPr>
                <w:rFonts w:cs="Arial"/>
                <w:b/>
                <w:bCs/>
                <w:snapToGrid w:val="0"/>
                <w:sz w:val="20"/>
                <w:szCs w:val="20"/>
              </w:rPr>
            </w:pPr>
          </w:p>
        </w:tc>
      </w:tr>
      <w:tr w:rsidR="00E138DC" w14:paraId="5C0112A5" w14:textId="77777777" w:rsidTr="00C20B25">
        <w:tc>
          <w:tcPr>
            <w:tcW w:w="1555" w:type="dxa"/>
          </w:tcPr>
          <w:p w14:paraId="3299E477" w14:textId="5A1D5BC1"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54DE7D26" w14:textId="76DFB009"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674056D" w14:textId="77777777" w:rsidR="00E138DC" w:rsidRDefault="00E138DC" w:rsidP="00804226">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宋体" w:cs="Arial"/>
                <w:b/>
                <w:bCs/>
                <w:snapToGrid w:val="0"/>
                <w:sz w:val="20"/>
                <w:szCs w:val="20"/>
                <w:lang w:eastAsia="zh-CN"/>
              </w:rPr>
            </w:pPr>
            <w:r>
              <w:rPr>
                <w:rFonts w:cs="Arial"/>
                <w:b/>
                <w:bCs/>
                <w:snapToGrid w:val="0"/>
                <w:sz w:val="20"/>
                <w:szCs w:val="20"/>
              </w:rPr>
              <w:t xml:space="preserve">Q 2.5.3: For CG based solution, do companies agree that after transmitting the first UL message on the CG resource, the UE shall monitor a configured UE RNTI? If yes, which RNTI is this (options </w:t>
            </w:r>
            <w:proofErr w:type="gramStart"/>
            <w:r>
              <w:rPr>
                <w:rFonts w:cs="Arial"/>
                <w:b/>
                <w:bCs/>
                <w:snapToGrid w:val="0"/>
                <w:sz w:val="20"/>
                <w:szCs w:val="20"/>
              </w:rPr>
              <w:t>are:</w:t>
            </w:r>
            <w:proofErr w:type="gramEnd"/>
            <w:r>
              <w:rPr>
                <w:rFonts w:cs="Arial"/>
                <w:b/>
                <w:bCs/>
                <w:snapToGrid w:val="0"/>
                <w:sz w:val="20"/>
                <w:szCs w:val="20"/>
              </w:rPr>
              <w:t xml:space="preserv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w:t>
            </w:r>
            <w:r>
              <w:rPr>
                <w:rFonts w:cs="Arial"/>
                <w:snapToGrid w:val="0"/>
                <w:sz w:val="20"/>
                <w:szCs w:val="20"/>
              </w:rPr>
              <w:lastRenderedPageBreak/>
              <w:t xml:space="preserve">Since the CG resources are assumed to be valid only in the same serving cell, </w:t>
            </w:r>
            <w:proofErr w:type="gramStart"/>
            <w:r>
              <w:rPr>
                <w:rFonts w:cs="Arial"/>
                <w:snapToGrid w:val="0"/>
                <w:sz w:val="20"/>
                <w:szCs w:val="20"/>
              </w:rPr>
              <w:t>as long as</w:t>
            </w:r>
            <w:proofErr w:type="gramEnd"/>
            <w:r>
              <w:rPr>
                <w:rFonts w:cs="Arial"/>
                <w:snapToGrid w:val="0"/>
                <w:sz w:val="20"/>
                <w:szCs w:val="20"/>
              </w:rPr>
              <w:t xml:space="preserve">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w:t>
            </w:r>
            <w:proofErr w:type="gramStart"/>
            <w:r>
              <w:rPr>
                <w:rFonts w:cs="Arial" w:hint="eastAsia"/>
                <w:snapToGrid w:val="0"/>
                <w:sz w:val="20"/>
                <w:szCs w:val="20"/>
              </w:rPr>
              <w:t>has to</w:t>
            </w:r>
            <w:proofErr w:type="gramEnd"/>
            <w:r>
              <w:rPr>
                <w:rFonts w:cs="Arial" w:hint="eastAsia"/>
                <w:snapToGrid w:val="0"/>
                <w:sz w:val="20"/>
                <w:szCs w:val="20"/>
              </w:rPr>
              <w:t xml:space="preserve">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w:t>
            </w:r>
            <w:proofErr w:type="gramStart"/>
            <w:r w:rsidRPr="0072635B">
              <w:rPr>
                <w:rFonts w:cs="Arial" w:hint="eastAsia"/>
                <w:snapToGrid w:val="0"/>
                <w:sz w:val="20"/>
                <w:szCs w:val="20"/>
              </w:rPr>
              <w:t>a period of time</w:t>
            </w:r>
            <w:proofErr w:type="gramEnd"/>
            <w:r w:rsidRPr="0072635B">
              <w:rPr>
                <w:rFonts w:cs="Arial" w:hint="eastAsia"/>
                <w:snapToGrid w:val="0"/>
                <w:sz w:val="20"/>
                <w:szCs w:val="20"/>
              </w:rPr>
              <w:t xml:space="preserv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r w:rsidR="00804226" w14:paraId="7CADA3D3" w14:textId="77777777" w:rsidTr="00C20B25">
        <w:tc>
          <w:tcPr>
            <w:tcW w:w="1555" w:type="dxa"/>
          </w:tcPr>
          <w:p w14:paraId="21A4C56E" w14:textId="3992A059"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936E201" w14:textId="285E73DC" w:rsidR="00804226" w:rsidRDefault="00804226" w:rsidP="00804226">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77777777" w:rsidR="00804226" w:rsidRDefault="00804226" w:rsidP="00804226">
            <w:pPr>
              <w:snapToGrid w:val="0"/>
              <w:rPr>
                <w:rFonts w:cs="Arial"/>
                <w:b/>
                <w:bCs/>
                <w:snapToGrid w:val="0"/>
                <w:sz w:val="20"/>
                <w:szCs w:val="20"/>
              </w:rPr>
            </w:pPr>
          </w:p>
        </w:tc>
      </w:tr>
      <w:tr w:rsidR="00DC3743" w14:paraId="78B2A9EA" w14:textId="77777777" w:rsidTr="00C20B25">
        <w:tc>
          <w:tcPr>
            <w:tcW w:w="1555" w:type="dxa"/>
          </w:tcPr>
          <w:p w14:paraId="1EF7126B" w14:textId="24DC64E7"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w:t>
            </w:r>
            <w:r w:rsidR="00C46AFB">
              <w:rPr>
                <w:rFonts w:eastAsiaTheme="minorEastAsia" w:cs="Arial"/>
                <w:snapToGrid w:val="0"/>
                <w:sz w:val="20"/>
                <w:szCs w:val="20"/>
                <w:lang w:eastAsia="zh-CN"/>
              </w:rPr>
              <w:t xml:space="preserve"> for subsequent UL message.</w:t>
            </w:r>
          </w:p>
        </w:tc>
        <w:tc>
          <w:tcPr>
            <w:tcW w:w="4814" w:type="dxa"/>
          </w:tcPr>
          <w:p w14:paraId="612C39CF" w14:textId="77777777" w:rsidR="00DC3743" w:rsidRDefault="00DC3743" w:rsidP="00804226">
            <w:pPr>
              <w:snapToGrid w:val="0"/>
              <w:rPr>
                <w:rFonts w:cs="Arial"/>
                <w:b/>
                <w:bCs/>
                <w:snapToGrid w:val="0"/>
                <w:sz w:val="20"/>
                <w:szCs w:val="20"/>
              </w:rPr>
            </w:pPr>
          </w:p>
        </w:tc>
      </w:tr>
      <w:tr w:rsidR="00DB05F9" w14:paraId="3546FE8E" w14:textId="77777777" w:rsidTr="00C20B25">
        <w:tc>
          <w:tcPr>
            <w:tcW w:w="1555" w:type="dxa"/>
          </w:tcPr>
          <w:p w14:paraId="490E7EAE" w14:textId="768BAC1B"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Lenovo</w:t>
            </w:r>
          </w:p>
        </w:tc>
        <w:tc>
          <w:tcPr>
            <w:tcW w:w="9497" w:type="dxa"/>
          </w:tcPr>
          <w:p w14:paraId="4C1EB8E5" w14:textId="69D0EB23"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we prefer to introduce a new UE-RNTI for SDT as PUR in NB-IOT.</w:t>
            </w:r>
          </w:p>
        </w:tc>
        <w:tc>
          <w:tcPr>
            <w:tcW w:w="4814" w:type="dxa"/>
          </w:tcPr>
          <w:p w14:paraId="51A8014E" w14:textId="77777777" w:rsidR="00DB05F9" w:rsidRDefault="00DB05F9" w:rsidP="00804226">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1"/>
        <w:rPr>
          <w:snapToGrid w:val="0"/>
        </w:rPr>
      </w:pPr>
      <w:r>
        <w:rPr>
          <w:snapToGrid w:val="0"/>
        </w:rPr>
        <w:t>Other aspects with potential impact to other WGs</w:t>
      </w:r>
    </w:p>
    <w:p w14:paraId="1A017526" w14:textId="77777777" w:rsidR="00D55952" w:rsidRDefault="0072635B">
      <w:pPr>
        <w:pStyle w:val="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w:t>
      </w:r>
      <w:proofErr w:type="gramStart"/>
      <w:r>
        <w:rPr>
          <w:lang w:val="en-GB" w:eastAsia="zh-CN"/>
        </w:rPr>
        <w:t>so as to</w:t>
      </w:r>
      <w:proofErr w:type="gramEnd"/>
      <w:r>
        <w:rPr>
          <w:lang w:val="en-GB" w:eastAsia="zh-CN"/>
        </w:rPr>
        <w:t xml:space="preserve"> trigger the necessary investigations in RAN1 if any. </w:t>
      </w:r>
    </w:p>
    <w:p w14:paraId="7458B4B0"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2C9A7C5B"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w:t>
            </w:r>
            <w:proofErr w:type="gramStart"/>
            <w:r>
              <w:rPr>
                <w:rFonts w:cs="Arial"/>
                <w:snapToGrid w:val="0"/>
                <w:sz w:val="20"/>
                <w:szCs w:val="20"/>
              </w:rPr>
              <w:t>particular RACH</w:t>
            </w:r>
            <w:proofErr w:type="gramEnd"/>
            <w:r>
              <w:rPr>
                <w:rFonts w:cs="Arial"/>
                <w:snapToGrid w:val="0"/>
                <w:sz w:val="20"/>
                <w:szCs w:val="20"/>
              </w:rPr>
              <w:t xml:space="preserve">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 xml:space="preserve">that </w:t>
            </w:r>
            <w:proofErr w:type="gramStart"/>
            <w:r>
              <w:rPr>
                <w:rFonts w:eastAsia="PMingLiU" w:cs="Arial"/>
                <w:snapToGrid w:val="0"/>
                <w:sz w:val="20"/>
                <w:szCs w:val="20"/>
                <w:lang w:eastAsia="zh-TW"/>
              </w:rPr>
              <w:t>particular RACH</w:t>
            </w:r>
            <w:proofErr w:type="gramEnd"/>
            <w:r>
              <w:rPr>
                <w:rFonts w:eastAsia="PMingLiU" w:cs="Arial"/>
                <w:snapToGrid w:val="0"/>
                <w:sz w:val="20"/>
                <w:szCs w:val="20"/>
                <w:lang w:eastAsia="zh-TW"/>
              </w:rPr>
              <w:t xml:space="preserve">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ACH occasion can be both separated </w:t>
            </w:r>
            <w:proofErr w:type="gramStart"/>
            <w:r>
              <w:rPr>
                <w:rFonts w:eastAsiaTheme="minorEastAsia" w:cs="Arial"/>
                <w:snapToGrid w:val="0"/>
                <w:sz w:val="20"/>
                <w:szCs w:val="20"/>
                <w:lang w:eastAsia="zh-CN"/>
              </w:rPr>
              <w:t>or</w:t>
            </w:r>
            <w:proofErr w:type="gramEnd"/>
            <w:r>
              <w:rPr>
                <w:rFonts w:eastAsiaTheme="minorEastAsia" w:cs="Arial"/>
                <w:snapToGrid w:val="0"/>
                <w:sz w:val="20"/>
                <w:szCs w:val="20"/>
                <w:lang w:eastAsia="zh-CN"/>
              </w:rPr>
              <w:t xml:space="preserve">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up to NW configuration and supported as baseline. We understand the term “shared resources” </w:t>
            </w:r>
            <w:proofErr w:type="gramStart"/>
            <w:r>
              <w:rPr>
                <w:rFonts w:eastAsia="PMingLiU" w:cs="Arial"/>
                <w:snapToGrid w:val="0"/>
                <w:sz w:val="20"/>
                <w:szCs w:val="20"/>
                <w:lang w:eastAsia="zh-TW"/>
              </w:rPr>
              <w:t>similar to</w:t>
            </w:r>
            <w:proofErr w:type="gramEnd"/>
            <w:r>
              <w:rPr>
                <w:rFonts w:eastAsia="PMingLiU" w:cs="Arial"/>
                <w:snapToGrid w:val="0"/>
                <w:sz w:val="20"/>
                <w:szCs w:val="20"/>
                <w:lang w:eastAsia="zh-TW"/>
              </w:rPr>
              <w:t xml:space="preserve">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w:t>
            </w:r>
            <w:proofErr w:type="gramStart"/>
            <w:r>
              <w:rPr>
                <w:rFonts w:eastAsia="PMingLiU" w:cs="Arial"/>
                <w:snapToGrid w:val="0"/>
                <w:sz w:val="20"/>
                <w:szCs w:val="20"/>
                <w:lang w:eastAsia="zh-TW"/>
              </w:rPr>
              <w:t>supported</w:t>
            </w:r>
            <w:proofErr w:type="gramEnd"/>
            <w:r>
              <w:rPr>
                <w:rFonts w:eastAsia="PMingLiU" w:cs="Arial"/>
                <w:snapToGrid w:val="0"/>
                <w:sz w:val="20"/>
                <w:szCs w:val="20"/>
                <w:lang w:eastAsia="zh-TW"/>
              </w:rPr>
              <w:t xml:space="preserve">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F557071" w14:textId="7010EDDA"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w:t>
            </w:r>
            <w:proofErr w:type="spellStart"/>
            <w:r w:rsidRPr="002A7713">
              <w:rPr>
                <w:rFonts w:eastAsia="PMingLiU" w:cs="Arial"/>
                <w:snapToGrid w:val="0"/>
                <w:sz w:val="20"/>
                <w:szCs w:val="20"/>
                <w:lang w:eastAsia="zh-TW"/>
              </w:rPr>
              <w:t>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performing RA for legacy reasons from </w:t>
            </w:r>
            <w:proofErr w:type="spellStart"/>
            <w:r w:rsidRPr="002A7713">
              <w:rPr>
                <w:rFonts w:eastAsia="PMingLiU" w:cs="Arial"/>
                <w:snapToGrid w:val="0"/>
                <w:sz w:val="20"/>
                <w:szCs w:val="20"/>
                <w:lang w:eastAsia="zh-TW"/>
              </w:rPr>
              <w:t>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transmitting small data. However, at high cell loads, PRACH space portioning can result in capacity loss and potentially random-access delays to legacy </w:t>
            </w:r>
            <w:proofErr w:type="spellStart"/>
            <w:r w:rsidRPr="002A7713">
              <w:rPr>
                <w:rFonts w:eastAsia="PMingLiU" w:cs="Arial"/>
                <w:snapToGrid w:val="0"/>
                <w:sz w:val="20"/>
                <w:szCs w:val="20"/>
                <w:lang w:eastAsia="zh-TW"/>
              </w:rPr>
              <w:t>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lastRenderedPageBreak/>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0E786FEA"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different, preamble partitioning between SDT and non SDT is not needed.</w:t>
            </w:r>
          </w:p>
          <w:p w14:paraId="19F9A283" w14:textId="282DF794"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r w:rsidR="00804226" w14:paraId="0CAF81C6" w14:textId="77777777" w:rsidTr="00C20B25">
        <w:tc>
          <w:tcPr>
            <w:tcW w:w="1555" w:type="dxa"/>
          </w:tcPr>
          <w:p w14:paraId="3B5C9369" w14:textId="5D91CF00"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77777777" w:rsidR="00804226" w:rsidRDefault="00804226" w:rsidP="00804226">
            <w:pPr>
              <w:snapToGrid w:val="0"/>
              <w:rPr>
                <w:rFonts w:cs="Arial"/>
                <w:b/>
                <w:bCs/>
                <w:snapToGrid w:val="0"/>
                <w:sz w:val="20"/>
                <w:szCs w:val="20"/>
              </w:rPr>
            </w:pPr>
          </w:p>
        </w:tc>
      </w:tr>
      <w:tr w:rsidR="0032665D" w14:paraId="0E192EEF" w14:textId="77777777" w:rsidTr="00C20B25">
        <w:tc>
          <w:tcPr>
            <w:tcW w:w="1555" w:type="dxa"/>
          </w:tcPr>
          <w:p w14:paraId="3D46640E" w14:textId="689AB02A"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07953F6" w14:textId="6C907309"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777777" w:rsidR="0032665D" w:rsidRDefault="0032665D" w:rsidP="00804226">
            <w:pPr>
              <w:snapToGrid w:val="0"/>
              <w:rPr>
                <w:rFonts w:cs="Arial"/>
                <w:b/>
                <w:bCs/>
                <w:snapToGrid w:val="0"/>
                <w:sz w:val="20"/>
                <w:szCs w:val="20"/>
              </w:rPr>
            </w:pPr>
          </w:p>
        </w:tc>
      </w:tr>
      <w:tr w:rsidR="00DB05F9" w14:paraId="13FD68FD" w14:textId="77777777" w:rsidTr="00C20B25">
        <w:tc>
          <w:tcPr>
            <w:tcW w:w="1555" w:type="dxa"/>
          </w:tcPr>
          <w:p w14:paraId="08B38C75" w14:textId="66334156"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B202923" w14:textId="7C8380F0" w:rsidR="00DB05F9" w:rsidRDefault="00DB05F9" w:rsidP="00804226">
            <w:pPr>
              <w:snapToGrid w:val="0"/>
              <w:rPr>
                <w:rFonts w:eastAsiaTheme="minorEastAsia" w:cs="Arial"/>
                <w:snapToGrid w:val="0"/>
                <w:sz w:val="20"/>
                <w:szCs w:val="20"/>
                <w:lang w:eastAsia="zh-CN"/>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w:t>
            </w:r>
            <w:r>
              <w:rPr>
                <w:rFonts w:eastAsia="PMingLiU" w:cs="Arial"/>
                <w:snapToGrid w:val="0"/>
                <w:sz w:val="20"/>
                <w:szCs w:val="20"/>
                <w:lang w:eastAsia="zh-TW"/>
              </w:rPr>
              <w:t>is preferable, it could make network identify the SDT procedure as early as possible.</w:t>
            </w:r>
          </w:p>
        </w:tc>
        <w:tc>
          <w:tcPr>
            <w:tcW w:w="4814" w:type="dxa"/>
          </w:tcPr>
          <w:p w14:paraId="4BD70C3D" w14:textId="77777777" w:rsidR="00DB05F9" w:rsidRDefault="00DB05F9" w:rsidP="00804226">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宋体"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lastRenderedPageBreak/>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14:paraId="5F5AF73F"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Alt2: Separate </w:t>
            </w:r>
            <w:proofErr w:type="spellStart"/>
            <w:r>
              <w:rPr>
                <w:rFonts w:eastAsia="宋体" w:cs="Arial"/>
                <w:snapToGrid w:val="0"/>
                <w:sz w:val="20"/>
                <w:szCs w:val="20"/>
                <w:lang w:eastAsia="zh-CN"/>
              </w:rPr>
              <w:t>SearchSpace</w:t>
            </w:r>
            <w:proofErr w:type="spellEnd"/>
            <w:r>
              <w:rPr>
                <w:rFonts w:eastAsia="宋体" w:cs="Arial"/>
                <w:snapToGrid w:val="0"/>
                <w:sz w:val="20"/>
                <w:szCs w:val="20"/>
                <w:lang w:eastAsia="zh-CN"/>
              </w:rPr>
              <w:t>/CORESET (needs RAN1 input)</w:t>
            </w:r>
          </w:p>
          <w:p w14:paraId="3FCC20A0"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w:t>
            </w:r>
            <w:proofErr w:type="gramStart"/>
            <w:r>
              <w:rPr>
                <w:rFonts w:eastAsia="宋体" w:cs="Arial"/>
                <w:snapToGrid w:val="0"/>
                <w:sz w:val="20"/>
                <w:szCs w:val="20"/>
                <w:lang w:eastAsia="zh-CN"/>
              </w:rPr>
              <w:t>intention</w:t>
            </w:r>
            <w:proofErr w:type="gramEnd"/>
            <w:r>
              <w:rPr>
                <w:rFonts w:eastAsia="宋体"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宋体" w:cs="Arial"/>
                <w:snapToGrid w:val="0"/>
                <w:sz w:val="20"/>
                <w:szCs w:val="20"/>
                <w:lang w:eastAsia="zh-CN"/>
              </w:rPr>
              <w:t>SearchSpace</w:t>
            </w:r>
            <w:proofErr w:type="spellEnd"/>
            <w:r>
              <w:rPr>
                <w:rFonts w:eastAsia="宋体" w:cs="Arial"/>
                <w:snapToGrid w:val="0"/>
                <w:sz w:val="20"/>
                <w:szCs w:val="20"/>
                <w:lang w:eastAsia="zh-CN"/>
              </w:rPr>
              <w:t xml:space="preserve">/CORESET can be used to avoid the congestion on the legacy RA </w:t>
            </w:r>
            <w:proofErr w:type="spellStart"/>
            <w:r>
              <w:rPr>
                <w:rFonts w:eastAsia="宋体" w:cs="Arial" w:hint="eastAsia"/>
                <w:snapToGrid w:val="0"/>
                <w:sz w:val="20"/>
                <w:szCs w:val="20"/>
                <w:lang w:eastAsia="zh-CN"/>
              </w:rPr>
              <w:t>SearchSpace</w:t>
            </w:r>
            <w:proofErr w:type="spellEnd"/>
            <w:r>
              <w:rPr>
                <w:rFonts w:eastAsia="宋体" w:cs="Arial"/>
                <w:snapToGrid w:val="0"/>
                <w:sz w:val="20"/>
                <w:szCs w:val="20"/>
                <w:lang w:eastAsia="zh-CN"/>
              </w:rPr>
              <w:t>/CORESET.</w:t>
            </w:r>
          </w:p>
          <w:p w14:paraId="150C73D1" w14:textId="77777777"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 xml:space="preserve">Therefore, we prefer to have separate </w:t>
            </w:r>
            <w:proofErr w:type="spellStart"/>
            <w:r>
              <w:rPr>
                <w:rFonts w:eastAsia="宋体" w:cs="Arial" w:hint="eastAsia"/>
                <w:snapToGrid w:val="0"/>
                <w:sz w:val="20"/>
                <w:szCs w:val="20"/>
                <w:lang w:eastAsia="zh-CN"/>
              </w:rPr>
              <w:t>SearchSpace</w:t>
            </w:r>
            <w:proofErr w:type="spellEnd"/>
            <w:r>
              <w:rPr>
                <w:rFonts w:eastAsia="宋体" w:cs="Arial" w:hint="eastAsia"/>
                <w:snapToGrid w:val="0"/>
                <w:sz w:val="20"/>
                <w:szCs w:val="20"/>
                <w:lang w:eastAsia="zh-CN"/>
              </w:rPr>
              <w:t>/CORESET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 xml:space="preserve">We think separate BWP needs to be </w:t>
            </w:r>
            <w:proofErr w:type="gramStart"/>
            <w:r>
              <w:rPr>
                <w:rFonts w:cs="Arial"/>
                <w:snapToGrid w:val="0"/>
                <w:sz w:val="20"/>
                <w:szCs w:val="20"/>
              </w:rPr>
              <w:t>considered, and</w:t>
            </w:r>
            <w:proofErr w:type="gramEnd"/>
            <w:r>
              <w:rPr>
                <w:rFonts w:cs="Arial"/>
                <w:snapToGrid w:val="0"/>
                <w:sz w:val="20"/>
                <w:szCs w:val="20"/>
              </w:rPr>
              <w:t xml:space="preserve">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above company and think it is more suitable to let RAN1 to decide. </w:t>
            </w:r>
            <w:proofErr w:type="gramStart"/>
            <w:r>
              <w:rPr>
                <w:rFonts w:eastAsiaTheme="minorEastAsia" w:cs="Arial"/>
                <w:snapToGrid w:val="0"/>
                <w:sz w:val="20"/>
                <w:szCs w:val="20"/>
                <w:lang w:eastAsia="zh-CN"/>
              </w:rPr>
              <w:t>Actually, in</w:t>
            </w:r>
            <w:proofErr w:type="gramEnd"/>
            <w:r>
              <w:rPr>
                <w:rFonts w:eastAsiaTheme="minorEastAsia" w:cs="Arial"/>
                <w:snapToGrid w:val="0"/>
                <w:sz w:val="20"/>
                <w:szCs w:val="20"/>
                <w:lang w:eastAsia="zh-CN"/>
              </w:rPr>
              <w:t xml:space="preserve">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宋体" w:cs="Arial"/>
                <w:snapToGrid w:val="0"/>
                <w:sz w:val="20"/>
                <w:szCs w:val="20"/>
                <w:lang w:eastAsia="zh-CN"/>
              </w:rPr>
              <w:t>SearchSpace</w:t>
            </w:r>
            <w:proofErr w:type="spellEnd"/>
            <w:r>
              <w:rPr>
                <w:rFonts w:eastAsia="宋体" w:cs="Arial"/>
                <w:snapToGrid w:val="0"/>
                <w:sz w:val="20"/>
                <w:szCs w:val="20"/>
                <w:lang w:eastAsia="zh-CN"/>
              </w:rPr>
              <w:t>/CORESET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w:t>
            </w:r>
            <w:proofErr w:type="spellStart"/>
            <w:r>
              <w:rPr>
                <w:rFonts w:cs="Arial"/>
                <w:snapToGrid w:val="0"/>
                <w:sz w:val="20"/>
                <w:szCs w:val="20"/>
              </w:rPr>
              <w:t>MsgB</w:t>
            </w:r>
            <w:proofErr w:type="spellEnd"/>
            <w:r>
              <w:rPr>
                <w:rFonts w:cs="Arial"/>
                <w:snapToGrid w:val="0"/>
                <w:sz w:val="20"/>
                <w:szCs w:val="20"/>
              </w:rPr>
              <w:t>-RNTI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w:t>
            </w:r>
            <w:proofErr w:type="spellStart"/>
            <w:r>
              <w:rPr>
                <w:rFonts w:cs="Arial"/>
                <w:snapToGrid w:val="0"/>
                <w:sz w:val="20"/>
                <w:szCs w:val="20"/>
              </w:rPr>
              <w:t>MsgB</w:t>
            </w:r>
            <w:proofErr w:type="spellEnd"/>
            <w:r>
              <w:rPr>
                <w:rFonts w:cs="Arial"/>
                <w:snapToGrid w:val="0"/>
                <w:sz w:val="20"/>
                <w:szCs w:val="20"/>
              </w:rPr>
              <w:t>-RNTI can distinguish whether response is for SDT or non SDT. In R16, for flexible configuration of ROs, n</w:t>
            </w:r>
            <w:r w:rsidRPr="00E44ABE">
              <w:rPr>
                <w:rFonts w:cs="Arial"/>
                <w:snapToGrid w:val="0"/>
                <w:sz w:val="20"/>
                <w:szCs w:val="20"/>
              </w:rPr>
              <w:t xml:space="preserve">ew parameters </w:t>
            </w:r>
            <w:proofErr w:type="spellStart"/>
            <w:r w:rsidRPr="00E44ABE">
              <w:rPr>
                <w:sz w:val="20"/>
              </w:rPr>
              <w:t>prach-ConfigurationPeriodScaling</w:t>
            </w:r>
            <w:proofErr w:type="spellEnd"/>
            <w:r w:rsidRPr="00E44ABE">
              <w:rPr>
                <w:sz w:val="20"/>
              </w:rPr>
              <w:t xml:space="preserve">, </w:t>
            </w:r>
            <w:proofErr w:type="spellStart"/>
            <w:r w:rsidRPr="00E44ABE">
              <w:rPr>
                <w:sz w:val="20"/>
              </w:rPr>
              <w:t>prach-ConfigurationFrameOffset</w:t>
            </w:r>
            <w:proofErr w:type="spellEnd"/>
            <w:r w:rsidRPr="00E44ABE">
              <w:rPr>
                <w:sz w:val="20"/>
              </w:rPr>
              <w:t xml:space="preserve">, </w:t>
            </w:r>
            <w:proofErr w:type="spellStart"/>
            <w:r w:rsidRPr="00E44ABE">
              <w:rPr>
                <w:sz w:val="20"/>
              </w:rPr>
              <w:t>prach-ConfigurationSOffset</w:t>
            </w:r>
            <w:proofErr w:type="spellEnd"/>
            <w:r w:rsidRPr="00E44ABE">
              <w:rPr>
                <w:sz w:val="20"/>
              </w:rPr>
              <w:t xml:space="preserve"> are introduced. These can be included in RACH configuration of SDT</w:t>
            </w:r>
            <w:r w:rsidR="00E44ABE" w:rsidRPr="00E44ABE">
              <w:rPr>
                <w:sz w:val="20"/>
              </w:rPr>
              <w:t xml:space="preserve"> so that network has enough flexibility to configure ROs for SDT so </w:t>
            </w:r>
            <w:proofErr w:type="gramStart"/>
            <w:r w:rsidR="00E44ABE" w:rsidRPr="00E44ABE">
              <w:rPr>
                <w:sz w:val="20"/>
              </w:rPr>
              <w:t xml:space="preserve">that </w:t>
            </w:r>
            <w:r w:rsidR="00E44ABE" w:rsidRPr="00E44ABE">
              <w:rPr>
                <w:rFonts w:cs="Arial"/>
                <w:snapToGrid w:val="0"/>
                <w:sz w:val="20"/>
                <w:szCs w:val="20"/>
              </w:rPr>
              <w:t xml:space="preserve"> RA</w:t>
            </w:r>
            <w:proofErr w:type="gramEnd"/>
            <w:r w:rsidR="00E44ABE" w:rsidRPr="00E44ABE">
              <w:rPr>
                <w:rFonts w:cs="Arial"/>
                <w:snapToGrid w:val="0"/>
                <w:sz w:val="20"/>
                <w:szCs w:val="20"/>
              </w:rPr>
              <w:t>-RNTI/</w:t>
            </w:r>
            <w:proofErr w:type="spellStart"/>
            <w:r w:rsidR="00E44ABE" w:rsidRPr="00E44ABE">
              <w:rPr>
                <w:rFonts w:cs="Arial"/>
                <w:snapToGrid w:val="0"/>
                <w:sz w:val="20"/>
                <w:szCs w:val="20"/>
              </w:rPr>
              <w:t>MsgB</w:t>
            </w:r>
            <w:proofErr w:type="spellEnd"/>
            <w:r w:rsidR="00E44ABE" w:rsidRPr="00E44ABE">
              <w:rPr>
                <w:rFonts w:cs="Arial"/>
                <w:snapToGrid w:val="0"/>
                <w:sz w:val="20"/>
                <w:szCs w:val="20"/>
              </w:rPr>
              <w:t>-RNTI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w:t>
            </w:r>
            <w:proofErr w:type="spellStart"/>
            <w:r>
              <w:rPr>
                <w:rFonts w:cs="Arial"/>
                <w:snapToGrid w:val="0"/>
                <w:sz w:val="20"/>
                <w:szCs w:val="20"/>
              </w:rPr>
              <w:t>freq</w:t>
            </w:r>
            <w:proofErr w:type="spellEnd"/>
            <w:r>
              <w:rPr>
                <w:rFonts w:cs="Arial"/>
                <w:snapToGrid w:val="0"/>
                <w:sz w:val="20"/>
                <w:szCs w:val="20"/>
              </w:rPr>
              <w:t xml:space="preserve"> domain, RACH preambles can be partitioned for SDT </w:t>
            </w:r>
            <w:r>
              <w:rPr>
                <w:rFonts w:cs="Arial"/>
                <w:snapToGrid w:val="0"/>
                <w:sz w:val="20"/>
                <w:szCs w:val="20"/>
              </w:rPr>
              <w:lastRenderedPageBreak/>
              <w:t>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r w:rsidR="00804226" w14:paraId="02A24B89" w14:textId="77777777" w:rsidTr="00C20B25">
        <w:tc>
          <w:tcPr>
            <w:tcW w:w="1555" w:type="dxa"/>
          </w:tcPr>
          <w:p w14:paraId="4F8980CE" w14:textId="04318B1B"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77777777" w:rsidR="00804226" w:rsidRPr="00C20B25" w:rsidRDefault="00804226" w:rsidP="00804226">
            <w:pPr>
              <w:snapToGrid w:val="0"/>
              <w:rPr>
                <w:rFonts w:cs="Arial"/>
                <w:b/>
                <w:bCs/>
                <w:snapToGrid w:val="0"/>
                <w:sz w:val="20"/>
                <w:szCs w:val="20"/>
              </w:rPr>
            </w:pPr>
          </w:p>
        </w:tc>
      </w:tr>
      <w:tr w:rsidR="0032665D" w14:paraId="20DED528" w14:textId="77777777" w:rsidTr="00C20B25">
        <w:tc>
          <w:tcPr>
            <w:tcW w:w="1555" w:type="dxa"/>
          </w:tcPr>
          <w:p w14:paraId="41A9B993" w14:textId="0AAD8A6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77777777" w:rsidR="0032665D" w:rsidRPr="00C20B25" w:rsidRDefault="0032665D" w:rsidP="00804226">
            <w:pPr>
              <w:snapToGrid w:val="0"/>
              <w:rPr>
                <w:rFonts w:cs="Arial"/>
                <w:b/>
                <w:bCs/>
                <w:snapToGrid w:val="0"/>
                <w:sz w:val="20"/>
                <w:szCs w:val="20"/>
              </w:rPr>
            </w:pPr>
          </w:p>
        </w:tc>
      </w:tr>
      <w:tr w:rsidR="007D6980" w14:paraId="3366A8F1" w14:textId="77777777" w:rsidTr="00C20B25">
        <w:tc>
          <w:tcPr>
            <w:tcW w:w="1555" w:type="dxa"/>
          </w:tcPr>
          <w:p w14:paraId="39D4CF7D" w14:textId="514D7D81" w:rsidR="007D6980" w:rsidRDefault="007D698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428B272" w14:textId="238E6C4F" w:rsidR="007D6980" w:rsidRDefault="007D6980" w:rsidP="00804226">
            <w:pPr>
              <w:snapToGrid w:val="0"/>
              <w:rPr>
                <w:rFonts w:eastAsiaTheme="minorEastAsia" w:cs="Arial"/>
                <w:snapToGrid w:val="0"/>
                <w:sz w:val="20"/>
                <w:szCs w:val="20"/>
                <w:lang w:eastAsia="zh-CN"/>
              </w:rPr>
            </w:pPr>
            <w:r w:rsidRPr="00CD2E6F">
              <w:rPr>
                <w:rFonts w:cs="Arial"/>
                <w:snapToGrid w:val="0"/>
                <w:sz w:val="20"/>
                <w:szCs w:val="20"/>
              </w:rPr>
              <w:t xml:space="preserve">Yes, MSG2 and MSGB </w:t>
            </w:r>
            <w:r w:rsidR="00284B20">
              <w:rPr>
                <w:rFonts w:cs="Arial"/>
                <w:snapToGrid w:val="0"/>
                <w:sz w:val="20"/>
                <w:szCs w:val="20"/>
              </w:rPr>
              <w:t>could</w:t>
            </w:r>
            <w:r w:rsidRPr="00CD2E6F">
              <w:rPr>
                <w:rFonts w:cs="Arial"/>
                <w:snapToGrid w:val="0"/>
                <w:sz w:val="20"/>
                <w:szCs w:val="20"/>
              </w:rPr>
              <w:t xml:space="preserve"> be distinguished </w:t>
            </w:r>
            <w:r>
              <w:rPr>
                <w:rFonts w:cs="Arial"/>
                <w:snapToGrid w:val="0"/>
                <w:sz w:val="20"/>
                <w:szCs w:val="20"/>
              </w:rPr>
              <w:t>based on separate RO</w:t>
            </w:r>
            <w:r w:rsidR="00284B20">
              <w:rPr>
                <w:rFonts w:cs="Arial"/>
                <w:snapToGrid w:val="0"/>
                <w:sz w:val="20"/>
                <w:szCs w:val="20"/>
              </w:rPr>
              <w:t xml:space="preserve"> for SDT and normal case</w:t>
            </w:r>
            <w:r>
              <w:rPr>
                <w:rFonts w:cs="Arial"/>
                <w:snapToGrid w:val="0"/>
                <w:sz w:val="20"/>
                <w:szCs w:val="20"/>
              </w:rPr>
              <w:t>. RAN1’s input is needed for the final decision.</w:t>
            </w:r>
          </w:p>
        </w:tc>
        <w:tc>
          <w:tcPr>
            <w:tcW w:w="4814" w:type="dxa"/>
          </w:tcPr>
          <w:p w14:paraId="1852968F" w14:textId="77777777" w:rsidR="007D6980" w:rsidRPr="00C20B25" w:rsidRDefault="007D6980" w:rsidP="00804226">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宋体"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 Considering the backward compatibility, we prefer to introduce a new timer other than extending T319. If T319 is extended, legacy UEs </w:t>
            </w:r>
            <w:proofErr w:type="gramStart"/>
            <w:r>
              <w:rPr>
                <w:rFonts w:eastAsiaTheme="minorEastAsia" w:cs="Arial"/>
                <w:snapToGrid w:val="0"/>
                <w:sz w:val="20"/>
                <w:szCs w:val="20"/>
                <w:lang w:eastAsia="zh-CN"/>
              </w:rPr>
              <w:t>have to</w:t>
            </w:r>
            <w:proofErr w:type="gramEnd"/>
            <w:r>
              <w:rPr>
                <w:rFonts w:eastAsiaTheme="minorEastAsia" w:cs="Arial"/>
                <w:snapToGrid w:val="0"/>
                <w:sz w:val="20"/>
                <w:szCs w:val="20"/>
                <w:lang w:eastAsia="zh-CN"/>
              </w:rPr>
              <w:t xml:space="preserve">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w:t>
            </w:r>
            <w:proofErr w:type="gramStart"/>
            <w:r>
              <w:rPr>
                <w:rFonts w:eastAsia="PMingLiU" w:cs="Arial"/>
                <w:snapToGrid w:val="0"/>
                <w:sz w:val="20"/>
                <w:szCs w:val="20"/>
                <w:lang w:eastAsia="zh-TW"/>
              </w:rPr>
              <w:t>retrieve</w:t>
            </w:r>
            <w:proofErr w:type="gramEnd"/>
            <w:r>
              <w:rPr>
                <w:rFonts w:eastAsia="PMingLiU" w:cs="Arial"/>
                <w:snapToGrid w:val="0"/>
                <w:sz w:val="20"/>
                <w:szCs w:val="20"/>
                <w:lang w:eastAsia="zh-TW"/>
              </w:rPr>
              <w:t xml:space="preser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w:t>
            </w:r>
            <w:proofErr w:type="gramStart"/>
            <w:r w:rsidRPr="00CF06E5">
              <w:rPr>
                <w:rFonts w:cs="Arial"/>
                <w:snapToGrid w:val="0"/>
                <w:sz w:val="20"/>
                <w:szCs w:val="20"/>
              </w:rPr>
              <w:t>Connected</w:t>
            </w:r>
            <w:proofErr w:type="gramEnd"/>
            <w:r w:rsidRPr="00CF06E5">
              <w:rPr>
                <w:rFonts w:cs="Arial"/>
                <w:snapToGrid w:val="0"/>
                <w:sz w:val="20"/>
                <w:szCs w:val="20"/>
              </w:rPr>
              <w:t xml:space="preserve">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r w:rsidR="00804226" w14:paraId="1CBBE3D9" w14:textId="77777777" w:rsidTr="00C20B25">
        <w:tc>
          <w:tcPr>
            <w:tcW w:w="1555" w:type="dxa"/>
          </w:tcPr>
          <w:p w14:paraId="4876B72C" w14:textId="33632617"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D5DDD8B" w14:textId="420859F3" w:rsidR="00804226" w:rsidRPr="00CF06E5" w:rsidRDefault="00804226" w:rsidP="00804226">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w:t>
            </w:r>
            <w:r>
              <w:rPr>
                <w:rFonts w:eastAsia="Yu Mincho" w:cs="Arial"/>
                <w:snapToGrid w:val="0"/>
                <w:sz w:val="20"/>
                <w:szCs w:val="20"/>
                <w:lang w:eastAsia="ja-JP"/>
              </w:rPr>
              <w:lastRenderedPageBreak/>
              <w:t xml:space="preserve">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77777777" w:rsidR="00804226" w:rsidRPr="00C20B25" w:rsidRDefault="00804226" w:rsidP="00804226">
            <w:pPr>
              <w:snapToGrid w:val="0"/>
              <w:rPr>
                <w:rFonts w:cs="Arial"/>
                <w:b/>
                <w:bCs/>
                <w:snapToGrid w:val="0"/>
                <w:sz w:val="20"/>
                <w:szCs w:val="20"/>
              </w:rPr>
            </w:pPr>
          </w:p>
        </w:tc>
      </w:tr>
      <w:tr w:rsidR="00F35336" w14:paraId="63BB41DB" w14:textId="77777777" w:rsidTr="00C20B25">
        <w:tc>
          <w:tcPr>
            <w:tcW w:w="1555" w:type="dxa"/>
          </w:tcPr>
          <w:p w14:paraId="7D120127" w14:textId="164810BC"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77777777" w:rsidR="00F35336" w:rsidRPr="00C20B25" w:rsidRDefault="00F35336" w:rsidP="00804226">
            <w:pPr>
              <w:snapToGrid w:val="0"/>
              <w:rPr>
                <w:rFonts w:cs="Arial"/>
                <w:b/>
                <w:bCs/>
                <w:snapToGrid w:val="0"/>
                <w:sz w:val="20"/>
                <w:szCs w:val="20"/>
              </w:rPr>
            </w:pPr>
          </w:p>
        </w:tc>
      </w:tr>
      <w:tr w:rsidR="00284B20" w14:paraId="676B3593" w14:textId="77777777" w:rsidTr="00C20B25">
        <w:tc>
          <w:tcPr>
            <w:tcW w:w="1555" w:type="dxa"/>
          </w:tcPr>
          <w:p w14:paraId="1C163656" w14:textId="0A7F01AC"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B2F3073" w14:textId="4CDB1E3E"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prefer a new timer is introduced for SDT considering maybe </w:t>
            </w:r>
            <w:r w:rsidR="001F202C">
              <w:rPr>
                <w:rFonts w:eastAsiaTheme="minorEastAsia" w:cs="Arial"/>
                <w:snapToGrid w:val="0"/>
                <w:sz w:val="20"/>
                <w:szCs w:val="20"/>
                <w:lang w:eastAsia="zh-CN"/>
              </w:rPr>
              <w:t>subsequent DL data will be transmitted in the following RRC response message.</w:t>
            </w:r>
          </w:p>
        </w:tc>
        <w:tc>
          <w:tcPr>
            <w:tcW w:w="4814" w:type="dxa"/>
          </w:tcPr>
          <w:p w14:paraId="7C626FE2" w14:textId="77777777" w:rsidR="00284B20" w:rsidRPr="00C20B25" w:rsidRDefault="00284B20" w:rsidP="00804226">
            <w:pPr>
              <w:snapToGrid w:val="0"/>
              <w:rPr>
                <w:rFonts w:cs="Arial"/>
                <w:b/>
                <w:bCs/>
                <w:snapToGrid w:val="0"/>
                <w:sz w:val="20"/>
                <w:szCs w:val="20"/>
              </w:rPr>
            </w:pPr>
          </w:p>
        </w:tc>
      </w:tr>
    </w:tbl>
    <w:p w14:paraId="10704FFD" w14:textId="77777777" w:rsidR="00D55952" w:rsidRPr="001F202C" w:rsidRDefault="00D55952">
      <w:pPr>
        <w:rPr>
          <w:lang w:eastAsia="zh-CN"/>
        </w:rPr>
      </w:pPr>
    </w:p>
    <w:p w14:paraId="3FB95E5C" w14:textId="77777777" w:rsidR="00C20B25" w:rsidRDefault="00C20B25">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w:t>
            </w:r>
            <w:proofErr w:type="gramStart"/>
            <w:r>
              <w:rPr>
                <w:rFonts w:cs="Arial"/>
                <w:snapToGrid w:val="0"/>
                <w:sz w:val="20"/>
                <w:szCs w:val="20"/>
              </w:rPr>
              <w:t>sufficient</w:t>
            </w:r>
            <w:proofErr w:type="gramEnd"/>
            <w:r>
              <w:rPr>
                <w:rFonts w:cs="Arial"/>
                <w:snapToGrid w:val="0"/>
                <w:sz w:val="20"/>
                <w:szCs w:val="20"/>
              </w:rPr>
              <w:t xml:space="preserve">.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059DD549"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But does it mean we only rely on T319/New timer for the failure handling? </w:t>
            </w:r>
            <w:r w:rsidR="001F202C">
              <w:rPr>
                <w:rFonts w:eastAsiaTheme="minorEastAsia" w:cs="Arial"/>
                <w:snapToGrid w:val="0"/>
                <w:sz w:val="20"/>
                <w:szCs w:val="20"/>
                <w:lang w:eastAsia="zh-CN"/>
              </w:rPr>
              <w:t>H</w:t>
            </w:r>
            <w:r>
              <w:rPr>
                <w:rFonts w:eastAsiaTheme="minorEastAsia" w:cs="Arial"/>
                <w:snapToGrid w:val="0"/>
                <w:sz w:val="20"/>
                <w:szCs w:val="20"/>
                <w:lang w:eastAsia="zh-CN"/>
              </w:rPr>
              <w:t>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Whether T319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needs to be discussed. The beam validity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 xml:space="preserve">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宋体"/>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r w:rsidR="00804226" w14:paraId="7C4A3540" w14:textId="77777777" w:rsidTr="00C20B25">
        <w:tc>
          <w:tcPr>
            <w:tcW w:w="1555" w:type="dxa"/>
          </w:tcPr>
          <w:p w14:paraId="0D95B618" w14:textId="7D5F6FEE" w:rsidR="00804226" w:rsidRPr="00804226" w:rsidRDefault="00804226" w:rsidP="00AF1685">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3776134" w14:textId="67847C06" w:rsidR="00804226" w:rsidRPr="00AF1685" w:rsidRDefault="00804226" w:rsidP="00AF1685">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77777777" w:rsidR="00804226" w:rsidRDefault="00804226" w:rsidP="00AF1685"/>
        </w:tc>
      </w:tr>
      <w:tr w:rsidR="00F35336" w14:paraId="45CB0D24" w14:textId="77777777" w:rsidTr="00C20B25">
        <w:tc>
          <w:tcPr>
            <w:tcW w:w="1555" w:type="dxa"/>
          </w:tcPr>
          <w:p w14:paraId="29BDC963" w14:textId="46197179"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77777777" w:rsidR="00F35336" w:rsidRDefault="00F35336" w:rsidP="00AF1685"/>
        </w:tc>
      </w:tr>
      <w:tr w:rsidR="001F202C" w14:paraId="06278935" w14:textId="77777777" w:rsidTr="00C20B25">
        <w:tc>
          <w:tcPr>
            <w:tcW w:w="1555" w:type="dxa"/>
          </w:tcPr>
          <w:p w14:paraId="7A2A23A3" w14:textId="01187EBE"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DA60C37" w14:textId="1A09348C"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Further discussion is needed.</w:t>
            </w:r>
          </w:p>
        </w:tc>
        <w:tc>
          <w:tcPr>
            <w:tcW w:w="4814" w:type="dxa"/>
          </w:tcPr>
          <w:p w14:paraId="262F7851" w14:textId="77777777" w:rsidR="001F202C" w:rsidRDefault="001F202C" w:rsidP="00AF1685"/>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lastRenderedPageBreak/>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lastRenderedPageBreak/>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r w:rsidR="00804226" w14:paraId="0F2B41B8" w14:textId="77777777">
        <w:tc>
          <w:tcPr>
            <w:tcW w:w="1555" w:type="dxa"/>
          </w:tcPr>
          <w:p w14:paraId="26C1ED1E" w14:textId="0487EB52"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8B24DD8" w14:textId="1053F525" w:rsidR="00804226" w:rsidRDefault="00804226" w:rsidP="00804226">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77777777" w:rsidR="00804226" w:rsidRDefault="00804226" w:rsidP="00804226">
            <w:pPr>
              <w:snapToGrid w:val="0"/>
              <w:rPr>
                <w:rFonts w:cs="Arial"/>
                <w:b/>
                <w:bCs/>
                <w:snapToGrid w:val="0"/>
                <w:sz w:val="20"/>
                <w:szCs w:val="20"/>
              </w:rPr>
            </w:pPr>
          </w:p>
        </w:tc>
      </w:tr>
      <w:tr w:rsidR="00461A73" w14:paraId="35492F8C" w14:textId="77777777">
        <w:tc>
          <w:tcPr>
            <w:tcW w:w="1555" w:type="dxa"/>
          </w:tcPr>
          <w:p w14:paraId="06C2B16F" w14:textId="4504F842" w:rsidR="00461A73" w:rsidRPr="00461A73" w:rsidRDefault="00461A7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61A73" w:rsidRPr="00461A73" w:rsidRDefault="00461A73" w:rsidP="0080422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77777777" w:rsidR="00461A73" w:rsidRDefault="00461A73" w:rsidP="00804226">
            <w:pPr>
              <w:snapToGrid w:val="0"/>
              <w:rPr>
                <w:rFonts w:cs="Arial"/>
                <w:b/>
                <w:bCs/>
                <w:snapToGrid w:val="0"/>
                <w:sz w:val="20"/>
                <w:szCs w:val="20"/>
              </w:rPr>
            </w:pPr>
          </w:p>
        </w:tc>
      </w:tr>
      <w:tr w:rsidR="001F202C" w14:paraId="35AE9F01" w14:textId="77777777">
        <w:tc>
          <w:tcPr>
            <w:tcW w:w="1555" w:type="dxa"/>
          </w:tcPr>
          <w:p w14:paraId="429ADD83" w14:textId="792AA4E2" w:rsidR="001F202C" w:rsidRDefault="001F202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A30BF1C" w14:textId="1508DBE6" w:rsidR="001F202C" w:rsidRDefault="00A50B6D" w:rsidP="00804226">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Option.1, option.2 will introduce lots of impact to legacy UE behavior. </w:t>
            </w:r>
          </w:p>
        </w:tc>
        <w:tc>
          <w:tcPr>
            <w:tcW w:w="4814" w:type="dxa"/>
          </w:tcPr>
          <w:p w14:paraId="4B206AD1" w14:textId="77777777" w:rsidR="001F202C" w:rsidRDefault="001F202C" w:rsidP="00804226">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1"/>
        <w:rPr>
          <w:snapToGrid w:val="0"/>
        </w:rPr>
      </w:pPr>
      <w:r>
        <w:rPr>
          <w:snapToGrid w:val="0"/>
        </w:rPr>
        <w:lastRenderedPageBreak/>
        <w:t>References</w:t>
      </w:r>
    </w:p>
    <w:p w14:paraId="2E50AD06" w14:textId="77777777" w:rsidR="00D55952" w:rsidRDefault="0072635B">
      <w:pPr>
        <w:pStyle w:val="af9"/>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80A9425" w14:textId="77777777" w:rsidR="00D55952" w:rsidRDefault="00D55952">
      <w:pPr>
        <w:pStyle w:val="af9"/>
        <w:ind w:left="360"/>
        <w:rPr>
          <w:lang w:val="en-GB" w:eastAsia="en-GB"/>
        </w:rPr>
      </w:pPr>
    </w:p>
    <w:p w14:paraId="78E24EE4" w14:textId="77777777" w:rsidR="00D55952" w:rsidRDefault="0072635B">
      <w:pPr>
        <w:pStyle w:val="1"/>
        <w:rPr>
          <w:snapToGrid w:val="0"/>
        </w:rPr>
      </w:pPr>
      <w:r>
        <w:rPr>
          <w:snapToGrid w:val="0"/>
        </w:rPr>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proofErr w:type="spellStart"/>
            <w:r>
              <w:rPr>
                <w:lang w:val="en-GB" w:eastAsia="en-GB"/>
              </w:rPr>
              <w:t>Mediatek</w:t>
            </w:r>
            <w:proofErr w:type="spellEnd"/>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F5541F">
            <w:pPr>
              <w:rPr>
                <w:lang w:val="en-GB"/>
              </w:rPr>
            </w:pPr>
            <w:hyperlink r:id="rId12" w:history="1">
              <w:r w:rsidR="009D5DCC" w:rsidRPr="00085933">
                <w:rPr>
                  <w:rStyle w:val="af6"/>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14:paraId="7D7FDA5B" w14:textId="77777777"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14:paraId="4C12CDC9" w14:textId="77777777" w:rsidR="00461DB0" w:rsidRDefault="00F5541F">
            <w:pPr>
              <w:rPr>
                <w:rFonts w:eastAsiaTheme="minorEastAsia"/>
                <w:lang w:val="en-GB" w:eastAsia="zh-CN"/>
              </w:rPr>
            </w:pPr>
            <w:hyperlink r:id="rId13" w:history="1">
              <w:r w:rsidR="00CD6CEB" w:rsidRPr="00C229F8">
                <w:rPr>
                  <w:rStyle w:val="af6"/>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proofErr w:type="spellStart"/>
            <w:r w:rsidRPr="00F93FDE">
              <w:rPr>
                <w:rFonts w:eastAsiaTheme="minorEastAsia"/>
                <w:lang w:val="en-GB" w:eastAsia="zh-CN"/>
              </w:rPr>
              <w:t>ASUSTeK</w:t>
            </w:r>
            <w:proofErr w:type="spellEnd"/>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F5541F" w:rsidP="001D4741">
            <w:pPr>
              <w:rPr>
                <w:rFonts w:eastAsia="PMingLiU"/>
                <w:lang w:val="en-GB" w:eastAsia="zh-TW"/>
              </w:rPr>
            </w:pPr>
            <w:hyperlink r:id="rId14" w:history="1">
              <w:r w:rsidR="007315C8" w:rsidRPr="00297A29">
                <w:rPr>
                  <w:rStyle w:val="af6"/>
                  <w:rFonts w:eastAsia="PMingLiU" w:hint="eastAsia"/>
                  <w:lang w:val="en-GB" w:eastAsia="zh-TW"/>
                </w:rPr>
                <w:t>Erica</w:t>
              </w:r>
              <w:r w:rsidR="007315C8" w:rsidRPr="00297A29">
                <w:rPr>
                  <w:rStyle w:val="af6"/>
                  <w:rFonts w:eastAsia="PMingLiU"/>
                  <w:lang w:val="en-GB" w:eastAsia="zh-TW"/>
                </w:rPr>
                <w:t>_</w:t>
              </w:r>
              <w:r w:rsidR="007315C8" w:rsidRPr="00297A29">
                <w:rPr>
                  <w:rStyle w:val="af6"/>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 xml:space="preserve">Sudeep </w:t>
            </w:r>
            <w:proofErr w:type="spellStart"/>
            <w:r>
              <w:rPr>
                <w:rFonts w:eastAsia="PMingLiU"/>
                <w:lang w:val="en-GB" w:eastAsia="zh-TW"/>
              </w:rPr>
              <w:t>Palat</w:t>
            </w:r>
            <w:proofErr w:type="spellEnd"/>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lang w:val="en-GB" w:eastAsia="zh-CN"/>
              </w:rPr>
            </w:pPr>
            <w:proofErr w:type="spellStart"/>
            <w:r>
              <w:rPr>
                <w:rFonts w:eastAsiaTheme="minorEastAsia"/>
                <w:lang w:val="en-GB" w:eastAsia="zh-CN"/>
              </w:rPr>
              <w:t>Xiandong</w:t>
            </w:r>
            <w:proofErr w:type="spellEnd"/>
            <w:r>
              <w:rPr>
                <w:rFonts w:eastAsiaTheme="minorEastAsia"/>
                <w:lang w:val="en-GB" w:eastAsia="zh-CN"/>
              </w:rPr>
              <w:t xml:space="preserve"> Dong</w:t>
            </w:r>
          </w:p>
        </w:tc>
        <w:tc>
          <w:tcPr>
            <w:tcW w:w="5289" w:type="dxa"/>
          </w:tcPr>
          <w:p w14:paraId="296EA35B" w14:textId="379381B7" w:rsidR="004E1DFE" w:rsidRPr="004E1DFE" w:rsidRDefault="00F5541F" w:rsidP="001D4741">
            <w:pPr>
              <w:rPr>
                <w:rFonts w:eastAsiaTheme="minorEastAsia"/>
                <w:lang w:val="en-GB" w:eastAsia="zh-CN"/>
              </w:rPr>
            </w:pPr>
            <w:hyperlink r:id="rId15" w:history="1">
              <w:r w:rsidR="004E1DFE" w:rsidRPr="00BB156B">
                <w:rPr>
                  <w:rStyle w:val="af6"/>
                  <w:rFonts w:eastAsiaTheme="minorEastAsia" w:hint="eastAsia"/>
                  <w:lang w:val="en-GB" w:eastAsia="zh-CN"/>
                </w:rPr>
                <w:t>d</w:t>
              </w:r>
              <w:r w:rsidR="004E1DFE" w:rsidRPr="00BB156B">
                <w:rPr>
                  <w:rStyle w:val="af6"/>
                  <w:rFonts w:eastAsiaTheme="minorEastAsia"/>
                  <w:lang w:val="en-GB" w:eastAsia="zh-CN"/>
                </w:rPr>
                <w:t>ongxiandong@xiaomi.com</w:t>
              </w:r>
            </w:hyperlink>
            <w:r w:rsidR="004E1DFE">
              <w:rPr>
                <w:rFonts w:eastAsiaTheme="minorEastAsia"/>
                <w:lang w:val="en-GB" w:eastAsia="zh-CN"/>
              </w:rPr>
              <w:t xml:space="preserve"> </w:t>
            </w:r>
          </w:p>
        </w:tc>
      </w:tr>
      <w:tr w:rsidR="003B49DE" w14:paraId="1DE25706" w14:textId="77777777">
        <w:tc>
          <w:tcPr>
            <w:tcW w:w="2689" w:type="dxa"/>
          </w:tcPr>
          <w:p w14:paraId="2FFA580F" w14:textId="71221309" w:rsidR="003B49DE" w:rsidRDefault="003B49DE" w:rsidP="00114A41">
            <w:pPr>
              <w:rPr>
                <w:rFonts w:eastAsiaTheme="minorEastAsia"/>
                <w:lang w:val="en-GB" w:eastAsia="zh-CN"/>
              </w:rPr>
            </w:pPr>
            <w:r>
              <w:rPr>
                <w:rFonts w:eastAsiaTheme="minorEastAsia"/>
                <w:lang w:val="en-GB" w:eastAsia="zh-CN"/>
              </w:rPr>
              <w:lastRenderedPageBreak/>
              <w:t>Lenovo</w:t>
            </w:r>
          </w:p>
        </w:tc>
        <w:tc>
          <w:tcPr>
            <w:tcW w:w="7889" w:type="dxa"/>
          </w:tcPr>
          <w:p w14:paraId="3210F26B" w14:textId="76353860" w:rsidR="003B49DE" w:rsidRDefault="003B49DE" w:rsidP="00114A41">
            <w:pPr>
              <w:rPr>
                <w:rFonts w:eastAsiaTheme="minorEastAsia"/>
                <w:lang w:val="en-GB" w:eastAsia="zh-CN"/>
              </w:rPr>
            </w:pPr>
            <w:r>
              <w:rPr>
                <w:rFonts w:eastAsiaTheme="minorEastAsia"/>
                <w:lang w:val="en-GB" w:eastAsia="zh-CN"/>
              </w:rPr>
              <w:t>Jie Shi</w:t>
            </w:r>
          </w:p>
        </w:tc>
        <w:tc>
          <w:tcPr>
            <w:tcW w:w="5289" w:type="dxa"/>
          </w:tcPr>
          <w:p w14:paraId="4F30CAD6" w14:textId="750C8DD9" w:rsidR="003B49DE" w:rsidRDefault="003B49DE" w:rsidP="001D4741">
            <w:r>
              <w:t>Shijie4@lenovo.com</w:t>
            </w:r>
          </w:p>
        </w:tc>
      </w:tr>
    </w:tbl>
    <w:p w14:paraId="3FAB3EFE" w14:textId="77777777" w:rsidR="00D55952" w:rsidRDefault="00D55952">
      <w:pPr>
        <w:rPr>
          <w:lang w:val="en-GB" w:eastAsia="en-GB"/>
        </w:rPr>
      </w:pPr>
    </w:p>
    <w:p w14:paraId="279C7A74" w14:textId="77777777" w:rsidR="00D55952" w:rsidRDefault="00D55952">
      <w:pPr>
        <w:pStyle w:val="af9"/>
        <w:ind w:left="360"/>
        <w:rPr>
          <w:lang w:val="en-GB" w:eastAsia="en-GB"/>
        </w:rPr>
      </w:pPr>
      <w:bookmarkStart w:id="3" w:name="_GoBack"/>
      <w:bookmarkEnd w:id="3"/>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DA61F" w14:textId="77777777" w:rsidR="005E0031" w:rsidRDefault="005E0031">
      <w:pPr>
        <w:spacing w:after="0" w:line="240" w:lineRule="auto"/>
      </w:pPr>
      <w:r>
        <w:separator/>
      </w:r>
    </w:p>
  </w:endnote>
  <w:endnote w:type="continuationSeparator" w:id="0">
    <w:p w14:paraId="06258B56" w14:textId="77777777" w:rsidR="005E0031" w:rsidRDefault="005E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D37CF" w14:textId="77777777" w:rsidR="005E0031" w:rsidRDefault="005E0031">
      <w:pPr>
        <w:spacing w:after="0" w:line="240" w:lineRule="auto"/>
      </w:pPr>
      <w:r>
        <w:separator/>
      </w:r>
    </w:p>
  </w:footnote>
  <w:footnote w:type="continuationSeparator" w:id="0">
    <w:p w14:paraId="69831B74" w14:textId="77777777" w:rsidR="005E0031" w:rsidRDefault="005E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A363B"/>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202C"/>
    <w:rsid w:val="001F44C4"/>
    <w:rsid w:val="00206F1A"/>
    <w:rsid w:val="0022309A"/>
    <w:rsid w:val="00257BDF"/>
    <w:rsid w:val="002728BB"/>
    <w:rsid w:val="00282E3A"/>
    <w:rsid w:val="00284B20"/>
    <w:rsid w:val="002B7782"/>
    <w:rsid w:val="002E44A1"/>
    <w:rsid w:val="0032665D"/>
    <w:rsid w:val="0036079F"/>
    <w:rsid w:val="003608F9"/>
    <w:rsid w:val="00366846"/>
    <w:rsid w:val="003A7F3E"/>
    <w:rsid w:val="003B1043"/>
    <w:rsid w:val="003B49DE"/>
    <w:rsid w:val="003D2FF7"/>
    <w:rsid w:val="003F33E5"/>
    <w:rsid w:val="003F6CBB"/>
    <w:rsid w:val="003F7B33"/>
    <w:rsid w:val="00411A29"/>
    <w:rsid w:val="0041361A"/>
    <w:rsid w:val="004141CD"/>
    <w:rsid w:val="00436094"/>
    <w:rsid w:val="00447EBA"/>
    <w:rsid w:val="004529E8"/>
    <w:rsid w:val="00461A73"/>
    <w:rsid w:val="00461DB0"/>
    <w:rsid w:val="00466DF6"/>
    <w:rsid w:val="0049633C"/>
    <w:rsid w:val="004A5661"/>
    <w:rsid w:val="004B031C"/>
    <w:rsid w:val="004C0787"/>
    <w:rsid w:val="004C1B53"/>
    <w:rsid w:val="004C576A"/>
    <w:rsid w:val="004D2483"/>
    <w:rsid w:val="004E1DFE"/>
    <w:rsid w:val="004E3B6F"/>
    <w:rsid w:val="004E7FFB"/>
    <w:rsid w:val="004F2AE7"/>
    <w:rsid w:val="004F5FEB"/>
    <w:rsid w:val="0050248F"/>
    <w:rsid w:val="00521913"/>
    <w:rsid w:val="00536D6F"/>
    <w:rsid w:val="00540373"/>
    <w:rsid w:val="00541E62"/>
    <w:rsid w:val="00543C8A"/>
    <w:rsid w:val="00544749"/>
    <w:rsid w:val="0055328C"/>
    <w:rsid w:val="00587294"/>
    <w:rsid w:val="00596BE4"/>
    <w:rsid w:val="005C4952"/>
    <w:rsid w:val="005D01A5"/>
    <w:rsid w:val="005D5618"/>
    <w:rsid w:val="005D6FCF"/>
    <w:rsid w:val="005E0031"/>
    <w:rsid w:val="005E7471"/>
    <w:rsid w:val="005F3FF9"/>
    <w:rsid w:val="005F43C9"/>
    <w:rsid w:val="00632FA5"/>
    <w:rsid w:val="00644C24"/>
    <w:rsid w:val="0066055E"/>
    <w:rsid w:val="00694CC2"/>
    <w:rsid w:val="00695BE6"/>
    <w:rsid w:val="006A1DEF"/>
    <w:rsid w:val="00706021"/>
    <w:rsid w:val="0072635B"/>
    <w:rsid w:val="007315C8"/>
    <w:rsid w:val="00743678"/>
    <w:rsid w:val="007571D2"/>
    <w:rsid w:val="007661BE"/>
    <w:rsid w:val="007830A9"/>
    <w:rsid w:val="00797A56"/>
    <w:rsid w:val="007C006F"/>
    <w:rsid w:val="007C01A3"/>
    <w:rsid w:val="007D4380"/>
    <w:rsid w:val="007D6980"/>
    <w:rsid w:val="007E4840"/>
    <w:rsid w:val="007F0240"/>
    <w:rsid w:val="00804226"/>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12A52"/>
    <w:rsid w:val="00A406F4"/>
    <w:rsid w:val="00A4713B"/>
    <w:rsid w:val="00A50B6D"/>
    <w:rsid w:val="00A71E2F"/>
    <w:rsid w:val="00A73418"/>
    <w:rsid w:val="00A761F3"/>
    <w:rsid w:val="00A82212"/>
    <w:rsid w:val="00A82CE7"/>
    <w:rsid w:val="00A84264"/>
    <w:rsid w:val="00AB6B3F"/>
    <w:rsid w:val="00AC1663"/>
    <w:rsid w:val="00AD5624"/>
    <w:rsid w:val="00AF1685"/>
    <w:rsid w:val="00AF268D"/>
    <w:rsid w:val="00AF3FB4"/>
    <w:rsid w:val="00B43806"/>
    <w:rsid w:val="00B44BFD"/>
    <w:rsid w:val="00B52A64"/>
    <w:rsid w:val="00B6250E"/>
    <w:rsid w:val="00B747B1"/>
    <w:rsid w:val="00BC3366"/>
    <w:rsid w:val="00BE71C6"/>
    <w:rsid w:val="00C114F7"/>
    <w:rsid w:val="00C20B25"/>
    <w:rsid w:val="00C3070D"/>
    <w:rsid w:val="00C46AFB"/>
    <w:rsid w:val="00C562EF"/>
    <w:rsid w:val="00C57051"/>
    <w:rsid w:val="00C57879"/>
    <w:rsid w:val="00C63CBA"/>
    <w:rsid w:val="00C74816"/>
    <w:rsid w:val="00C74E68"/>
    <w:rsid w:val="00C9097D"/>
    <w:rsid w:val="00C9374C"/>
    <w:rsid w:val="00CA67B2"/>
    <w:rsid w:val="00CC1636"/>
    <w:rsid w:val="00CD13CC"/>
    <w:rsid w:val="00CD4BD2"/>
    <w:rsid w:val="00CD5BF3"/>
    <w:rsid w:val="00CD6CEB"/>
    <w:rsid w:val="00CE006A"/>
    <w:rsid w:val="00D10252"/>
    <w:rsid w:val="00D121BC"/>
    <w:rsid w:val="00D15302"/>
    <w:rsid w:val="00D2240E"/>
    <w:rsid w:val="00D263E0"/>
    <w:rsid w:val="00D55015"/>
    <w:rsid w:val="00D55630"/>
    <w:rsid w:val="00D55952"/>
    <w:rsid w:val="00D5633C"/>
    <w:rsid w:val="00D93052"/>
    <w:rsid w:val="00D9324E"/>
    <w:rsid w:val="00DA1CC7"/>
    <w:rsid w:val="00DA37E0"/>
    <w:rsid w:val="00DB05F9"/>
    <w:rsid w:val="00DC3743"/>
    <w:rsid w:val="00DC7389"/>
    <w:rsid w:val="00DD2216"/>
    <w:rsid w:val="00DE09AF"/>
    <w:rsid w:val="00DE5305"/>
    <w:rsid w:val="00DF58A6"/>
    <w:rsid w:val="00DF778A"/>
    <w:rsid w:val="00E138DC"/>
    <w:rsid w:val="00E30945"/>
    <w:rsid w:val="00E44ABE"/>
    <w:rsid w:val="00E46613"/>
    <w:rsid w:val="00E46E40"/>
    <w:rsid w:val="00E5173F"/>
    <w:rsid w:val="00E522DF"/>
    <w:rsid w:val="00E742A6"/>
    <w:rsid w:val="00E75EED"/>
    <w:rsid w:val="00E91E8F"/>
    <w:rsid w:val="00E945D4"/>
    <w:rsid w:val="00E97E58"/>
    <w:rsid w:val="00EE618E"/>
    <w:rsid w:val="00F020E3"/>
    <w:rsid w:val="00F22197"/>
    <w:rsid w:val="00F31AA1"/>
    <w:rsid w:val="00F35336"/>
    <w:rsid w:val="00F37B43"/>
    <w:rsid w:val="00F46B98"/>
    <w:rsid w:val="00F54AC0"/>
    <w:rsid w:val="00F5541F"/>
    <w:rsid w:val="00F66A5C"/>
    <w:rsid w:val="00F86CF9"/>
    <w:rsid w:val="00F93FDE"/>
    <w:rsid w:val="00FA7C84"/>
    <w:rsid w:val="00FC144F"/>
    <w:rsid w:val="00FE4166"/>
    <w:rsid w:val="00FE4F58"/>
    <w:rsid w:val="00FE5B69"/>
    <w:rsid w:val="00FE63E2"/>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TOC7">
    <w:name w:val="toc 7"/>
    <w:basedOn w:val="TOC6"/>
    <w:next w:val="a"/>
    <w:uiPriority w:val="39"/>
    <w:qFormat/>
    <w:rsid w:val="00D55952"/>
    <w:pPr>
      <w:ind w:left="2268" w:hanging="2268"/>
    </w:pPr>
  </w:style>
  <w:style w:type="paragraph" w:styleId="TOC6">
    <w:name w:val="toc 6"/>
    <w:basedOn w:val="TOC5"/>
    <w:next w:val="a"/>
    <w:uiPriority w:val="39"/>
    <w:qFormat/>
    <w:rsid w:val="00D55952"/>
    <w:pPr>
      <w:ind w:left="1985" w:hanging="1985"/>
    </w:pPr>
  </w:style>
  <w:style w:type="paragraph" w:styleId="TOC5">
    <w:name w:val="toc 5"/>
    <w:basedOn w:val="TOC4"/>
    <w:next w:val="a"/>
    <w:uiPriority w:val="39"/>
    <w:qFormat/>
    <w:rsid w:val="00D55952"/>
    <w:pPr>
      <w:ind w:left="1701" w:hanging="1701"/>
    </w:pPr>
  </w:style>
  <w:style w:type="paragraph" w:styleId="TOC4">
    <w:name w:val="toc 4"/>
    <w:basedOn w:val="TOC3"/>
    <w:next w:val="a"/>
    <w:uiPriority w:val="39"/>
    <w:qFormat/>
    <w:rsid w:val="00D55952"/>
    <w:pPr>
      <w:ind w:left="1418" w:hanging="1418"/>
    </w:pPr>
  </w:style>
  <w:style w:type="paragraph" w:styleId="TOC3">
    <w:name w:val="toc 3"/>
    <w:basedOn w:val="TOC2"/>
    <w:next w:val="a"/>
    <w:uiPriority w:val="39"/>
    <w:qFormat/>
    <w:rsid w:val="00D55952"/>
    <w:pPr>
      <w:ind w:left="1134" w:hanging="1134"/>
    </w:pPr>
  </w:style>
  <w:style w:type="paragraph" w:styleId="TOC2">
    <w:name w:val="toc 2"/>
    <w:basedOn w:val="TOC1"/>
    <w:next w:val="a"/>
    <w:uiPriority w:val="39"/>
    <w:qFormat/>
    <w:rsid w:val="00D55952"/>
    <w:pPr>
      <w:keepNext w:val="0"/>
      <w:spacing w:before="0"/>
      <w:ind w:left="851" w:hanging="851"/>
    </w:pPr>
    <w:rPr>
      <w:sz w:val="20"/>
    </w:rPr>
  </w:style>
  <w:style w:type="paragraph" w:styleId="TOC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rsid w:val="00D55952"/>
    <w:pPr>
      <w:ind w:left="851"/>
    </w:pPr>
  </w:style>
  <w:style w:type="paragraph" w:styleId="a4">
    <w:name w:val="List Number"/>
    <w:basedOn w:val="a3"/>
    <w:qFormat/>
    <w:rsid w:val="00D55952"/>
  </w:style>
  <w:style w:type="paragraph" w:styleId="41">
    <w:name w:val="List Bullet 4"/>
    <w:basedOn w:val="32"/>
    <w:qFormat/>
    <w:rsid w:val="00D55952"/>
    <w:pPr>
      <w:ind w:left="1418"/>
    </w:pPr>
  </w:style>
  <w:style w:type="paragraph" w:styleId="32">
    <w:name w:val="List Bullet 3"/>
    <w:basedOn w:val="23"/>
    <w:qFormat/>
    <w:rsid w:val="00D55952"/>
    <w:pPr>
      <w:ind w:left="1135"/>
    </w:pPr>
  </w:style>
  <w:style w:type="paragraph" w:styleId="23">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1">
    <w:name w:val="List Bullet 5"/>
    <w:basedOn w:val="41"/>
    <w:qFormat/>
    <w:rsid w:val="00D55952"/>
    <w:pPr>
      <w:ind w:left="1702"/>
    </w:pPr>
  </w:style>
  <w:style w:type="paragraph" w:styleId="TOC8">
    <w:name w:val="toc 8"/>
    <w:basedOn w:val="TOC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2">
    <w:name w:val="List 5"/>
    <w:basedOn w:val="42"/>
    <w:qFormat/>
    <w:rsid w:val="00D55952"/>
    <w:pPr>
      <w:ind w:left="1702"/>
    </w:pPr>
  </w:style>
  <w:style w:type="paragraph" w:styleId="42">
    <w:name w:val="List 4"/>
    <w:basedOn w:val="31"/>
    <w:qFormat/>
    <w:rsid w:val="00D55952"/>
    <w:pPr>
      <w:ind w:left="1418"/>
    </w:pPr>
  </w:style>
  <w:style w:type="paragraph" w:styleId="TOC9">
    <w:name w:val="toc 9"/>
    <w:basedOn w:val="TOC8"/>
    <w:next w:val="a"/>
    <w:uiPriority w:val="39"/>
    <w:qFormat/>
    <w:rsid w:val="00D55952"/>
    <w:pPr>
      <w:ind w:left="1418" w:hanging="1418"/>
    </w:pPr>
  </w:style>
  <w:style w:type="paragraph" w:styleId="af0">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1">
    <w:name w:val="index 1"/>
    <w:basedOn w:val="a"/>
    <w:next w:val="a"/>
    <w:qFormat/>
    <w:rsid w:val="00D55952"/>
    <w:pPr>
      <w:keepLines/>
    </w:pPr>
  </w:style>
  <w:style w:type="paragraph" w:styleId="24">
    <w:name w:val="index 2"/>
    <w:basedOn w:val="11"/>
    <w:next w:val="a"/>
    <w:qFormat/>
    <w:rsid w:val="00D55952"/>
    <w:pPr>
      <w:ind w:left="284"/>
    </w:pPr>
  </w:style>
  <w:style w:type="paragraph" w:styleId="af1">
    <w:name w:val="annotation subject"/>
    <w:basedOn w:val="a6"/>
    <w:next w:val="a6"/>
    <w:link w:val="af2"/>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sid w:val="00D55952"/>
    <w:rPr>
      <w:color w:val="954F72" w:themeColor="followedHyperlink"/>
      <w:u w:val="single"/>
    </w:rPr>
  </w:style>
  <w:style w:type="character" w:styleId="af5">
    <w:name w:val="Emphasis"/>
    <w:basedOn w:val="a0"/>
    <w:uiPriority w:val="20"/>
    <w:qFormat/>
    <w:rsid w:val="00D55952"/>
    <w:rPr>
      <w:i/>
      <w:iCs/>
    </w:rPr>
  </w:style>
  <w:style w:type="character" w:styleId="af6">
    <w:name w:val="Hyperlink"/>
    <w:uiPriority w:val="99"/>
    <w:qFormat/>
    <w:rsid w:val="00D55952"/>
    <w:rPr>
      <w:color w:val="0000FF"/>
      <w:u w:val="single"/>
    </w:rPr>
  </w:style>
  <w:style w:type="character" w:styleId="af7">
    <w:name w:val="annotation reference"/>
    <w:rsid w:val="00D55952"/>
    <w:rPr>
      <w:sz w:val="16"/>
      <w:szCs w:val="16"/>
    </w:rPr>
  </w:style>
  <w:style w:type="character" w:styleId="af8">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2"/>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2"/>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页眉 字符"/>
    <w:link w:val="ab"/>
    <w:rsid w:val="00D55952"/>
    <w:rPr>
      <w:rFonts w:eastAsia="Times New Roman"/>
      <w:b/>
      <w:kern w:val="0"/>
      <w:sz w:val="18"/>
      <w:szCs w:val="20"/>
      <w:lang w:eastAsia="en-GB"/>
    </w:rPr>
  </w:style>
  <w:style w:type="character" w:customStyle="1" w:styleId="ac">
    <w:name w:val="页脚 字符"/>
    <w:link w:val="aa"/>
    <w:rsid w:val="00D55952"/>
    <w:rPr>
      <w:rFonts w:eastAsia="Times New Roman"/>
      <w:b/>
      <w:i/>
      <w:kern w:val="0"/>
      <w:sz w:val="18"/>
      <w:szCs w:val="20"/>
      <w:lang w:val="zh-CN" w:eastAsia="zh-CN"/>
    </w:rPr>
  </w:style>
  <w:style w:type="character" w:customStyle="1" w:styleId="af">
    <w:name w:val="脚注文本 字符"/>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标题 1 字符"/>
    <w:link w:val="1"/>
    <w:rsid w:val="00D55952"/>
    <w:rPr>
      <w:rFonts w:eastAsia="Times New Roman"/>
      <w:kern w:val="0"/>
      <w:sz w:val="36"/>
      <w:szCs w:val="20"/>
      <w:lang w:eastAsia="en-GB"/>
    </w:rPr>
  </w:style>
  <w:style w:type="character" w:customStyle="1" w:styleId="20">
    <w:name w:val="标题 2 字符"/>
    <w:link w:val="2"/>
    <w:rsid w:val="00D55952"/>
    <w:rPr>
      <w:rFonts w:eastAsia="Times New Roman"/>
      <w:kern w:val="0"/>
      <w:sz w:val="32"/>
      <w:szCs w:val="20"/>
      <w:lang w:val="zh-CN" w:eastAsia="zh-CN"/>
    </w:rPr>
  </w:style>
  <w:style w:type="character" w:customStyle="1" w:styleId="30">
    <w:name w:val="标题 3 字符"/>
    <w:link w:val="3"/>
    <w:rsid w:val="00D55952"/>
    <w:rPr>
      <w:rFonts w:eastAsia="Times New Roman"/>
      <w:kern w:val="0"/>
      <w:sz w:val="28"/>
      <w:szCs w:val="20"/>
      <w:lang w:val="zh-CN" w:eastAsia="zh-CN"/>
    </w:rPr>
  </w:style>
  <w:style w:type="character" w:customStyle="1" w:styleId="40">
    <w:name w:val="标题 4 字符"/>
    <w:link w:val="4"/>
    <w:rsid w:val="00D55952"/>
    <w:rPr>
      <w:rFonts w:eastAsia="Times New Roman"/>
      <w:kern w:val="0"/>
      <w:sz w:val="24"/>
      <w:szCs w:val="20"/>
      <w:lang w:val="zh-CN" w:eastAsia="zh-CN"/>
    </w:rPr>
  </w:style>
  <w:style w:type="character" w:customStyle="1" w:styleId="50">
    <w:name w:val="标题 5 字符"/>
    <w:link w:val="5"/>
    <w:qFormat/>
    <w:rsid w:val="00D55952"/>
    <w:rPr>
      <w:rFonts w:eastAsia="Times New Roman"/>
      <w:kern w:val="0"/>
      <w:sz w:val="22"/>
      <w:szCs w:val="20"/>
      <w:lang w:val="zh-CN" w:eastAsia="zh-CN"/>
    </w:rPr>
  </w:style>
  <w:style w:type="character" w:customStyle="1" w:styleId="60">
    <w:name w:val="标题 6 字符"/>
    <w:link w:val="6"/>
    <w:qFormat/>
    <w:rsid w:val="00D55952"/>
    <w:rPr>
      <w:rFonts w:eastAsia="Times New Roman"/>
      <w:kern w:val="0"/>
      <w:sz w:val="20"/>
      <w:szCs w:val="20"/>
      <w:lang w:val="zh-CN" w:eastAsia="zh-CN"/>
    </w:rPr>
  </w:style>
  <w:style w:type="character" w:customStyle="1" w:styleId="70">
    <w:name w:val="标题 7 字符"/>
    <w:link w:val="7"/>
    <w:qFormat/>
    <w:rsid w:val="00D55952"/>
    <w:rPr>
      <w:rFonts w:eastAsia="Times New Roman"/>
      <w:kern w:val="0"/>
      <w:sz w:val="20"/>
      <w:szCs w:val="20"/>
      <w:lang w:val="zh-CN" w:eastAsia="zh-CN"/>
    </w:rPr>
  </w:style>
  <w:style w:type="character" w:customStyle="1" w:styleId="80">
    <w:name w:val="标题 8 字符"/>
    <w:link w:val="8"/>
    <w:rsid w:val="00D55952"/>
    <w:rPr>
      <w:rFonts w:eastAsia="Times New Roman"/>
      <w:kern w:val="0"/>
      <w:sz w:val="36"/>
      <w:szCs w:val="20"/>
      <w:lang w:val="zh-CN" w:eastAsia="zh-CN"/>
    </w:rPr>
  </w:style>
  <w:style w:type="character" w:customStyle="1" w:styleId="90">
    <w:name w:val="标题 9 字符"/>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批注框文本 字符"/>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批注文字 字符"/>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2">
    <w:name w:val="批注主题 字符"/>
    <w:basedOn w:val="a7"/>
    <w:link w:val="af1"/>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2">
    <w:name w:val="修订1"/>
    <w:hidden/>
    <w:uiPriority w:val="99"/>
    <w:semiHidden/>
    <w:qFormat/>
    <w:rsid w:val="00D55952"/>
    <w:rPr>
      <w:rFonts w:eastAsia="Gulim"/>
      <w:sz w:val="24"/>
      <w:szCs w:val="24"/>
      <w:lang w:val="en-US" w:eastAsia="ko-KR"/>
    </w:rPr>
  </w:style>
  <w:style w:type="paragraph" w:styleId="afb">
    <w:name w:val="Document Map"/>
    <w:basedOn w:val="a"/>
    <w:link w:val="afc"/>
    <w:uiPriority w:val="99"/>
    <w:semiHidden/>
    <w:unhideWhenUsed/>
    <w:rsid w:val="007E4840"/>
    <w:rPr>
      <w:rFonts w:ascii="宋体" w:eastAsia="宋体"/>
      <w:sz w:val="18"/>
      <w:szCs w:val="18"/>
    </w:rPr>
  </w:style>
  <w:style w:type="character" w:customStyle="1" w:styleId="afc">
    <w:name w:val="文档结构图 字符"/>
    <w:basedOn w:val="a0"/>
    <w:link w:val="afb"/>
    <w:uiPriority w:val="99"/>
    <w:semiHidden/>
    <w:rsid w:val="007E4840"/>
    <w:rPr>
      <w:rFonts w:ascii="宋体" w:eastAsia="宋体"/>
      <w:sz w:val="18"/>
      <w:szCs w:val="18"/>
      <w:lang w:val="en-US" w:eastAsia="ko-KR"/>
    </w:rPr>
  </w:style>
  <w:style w:type="character" w:customStyle="1" w:styleId="13">
    <w:name w:val="확인되지 않은 멘션1"/>
    <w:basedOn w:val="a0"/>
    <w:uiPriority w:val="99"/>
    <w:semiHidden/>
    <w:unhideWhenUsed/>
    <w:rsid w:val="00CD6CEB"/>
    <w:rPr>
      <w:color w:val="605E5C"/>
      <w:shd w:val="clear" w:color="auto" w:fill="E1DFDD"/>
    </w:rPr>
  </w:style>
  <w:style w:type="character" w:customStyle="1" w:styleId="14">
    <w:name w:val="未处理的提及1"/>
    <w:basedOn w:val="a0"/>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ngxiandong@xiaom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76F06E-2E6D-40A9-A076-2802BBE7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10922</Words>
  <Characters>62257</Characters>
  <Application>Microsoft Office Word</Application>
  <DocSecurity>0</DocSecurity>
  <Lines>518</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Jie Jie4 Shi</cp:lastModifiedBy>
  <cp:revision>3</cp:revision>
  <dcterms:created xsi:type="dcterms:W3CDTF">2020-10-10T03:29:00Z</dcterms:created>
  <dcterms:modified xsi:type="dcterms:W3CDTF">2020-10-10T03:32:00Z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