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3113AA">
        <w:tc>
          <w:tcPr>
            <w:tcW w:w="1796" w:type="dxa"/>
            <w:shd w:val="clear" w:color="auto" w:fill="D9E2F3" w:themeFill="accent5" w:themeFillTint="33"/>
          </w:tcPr>
          <w:p w14:paraId="0517C125" w14:textId="77777777" w:rsidR="00823B5D" w:rsidRPr="007451A8" w:rsidRDefault="00823B5D"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3113AA">
            <w:pPr>
              <w:spacing w:after="0"/>
              <w:rPr>
                <w:rFonts w:ascii="Arial" w:hAnsi="Arial" w:cs="Arial"/>
                <w:b/>
              </w:rPr>
            </w:pPr>
            <w:r w:rsidRPr="007451A8">
              <w:rPr>
                <w:rFonts w:ascii="Arial" w:hAnsi="Arial" w:cs="Arial"/>
                <w:b/>
              </w:rPr>
              <w:t>Comments</w:t>
            </w:r>
          </w:p>
        </w:tc>
      </w:tr>
      <w:tr w:rsidR="008B3D77" w:rsidRPr="005A76D1" w14:paraId="0BDB13DC" w14:textId="77777777" w:rsidTr="00E535D2">
        <w:tc>
          <w:tcPr>
            <w:tcW w:w="1796" w:type="dxa"/>
          </w:tcPr>
          <w:p w14:paraId="392AFE33" w14:textId="50DE603E" w:rsidR="008B3D77" w:rsidRPr="005A76D1" w:rsidRDefault="007D6A18" w:rsidP="00E535D2">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E535D2">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E535D2">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3113AA">
        <w:tc>
          <w:tcPr>
            <w:tcW w:w="1796" w:type="dxa"/>
          </w:tcPr>
          <w:p w14:paraId="23CB935C" w14:textId="05AC0576" w:rsidR="00823B5D" w:rsidRPr="005A76D1" w:rsidRDefault="00893009" w:rsidP="003113AA">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3113AA">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3113AA">
            <w:pPr>
              <w:spacing w:after="0"/>
              <w:rPr>
                <w:rFonts w:ascii="Arial" w:hAnsi="Arial" w:cs="Arial"/>
              </w:rPr>
            </w:pPr>
            <w:r w:rsidRPr="00A92C7C">
              <w:rPr>
                <w:rFonts w:ascii="Arial" w:hAnsi="Arial" w:cs="Arial"/>
              </w:rPr>
              <w:t>We see UE grouping as one of the key pieces in power saving enhancements for paging procedure.</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13101F">
      <w:pPr>
        <w:pStyle w:val="ListParagraph"/>
        <w:numPr>
          <w:ilvl w:val="1"/>
          <w:numId w:val="36"/>
        </w:numPr>
        <w:spacing w:after="120"/>
        <w:jc w:val="both"/>
        <w:rPr>
          <w:rFonts w:ascii="Arial" w:hAnsi="Arial" w:cs="Arial"/>
        </w:rPr>
      </w:pPr>
      <w:r w:rsidRPr="0013101F">
        <w:rPr>
          <w:rFonts w:ascii="Arial" w:hAnsi="Arial" w:cs="Arial" w:hint="eastAsia"/>
        </w:rPr>
        <w:lastRenderedPageBreak/>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13101F">
      <w:pPr>
        <w:pStyle w:val="ListParagraph"/>
        <w:numPr>
          <w:ilvl w:val="1"/>
          <w:numId w:val="36"/>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13101F">
      <w:pPr>
        <w:pStyle w:val="ListParagraph"/>
        <w:numPr>
          <w:ilvl w:val="1"/>
          <w:numId w:val="36"/>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E76797">
      <w:pPr>
        <w:pStyle w:val="ListParagraph"/>
        <w:numPr>
          <w:ilvl w:val="0"/>
          <w:numId w:val="36"/>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37BB7">
      <w:pPr>
        <w:pStyle w:val="ListParagraph"/>
        <w:numPr>
          <w:ilvl w:val="1"/>
          <w:numId w:val="36"/>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4D7733">
      <w:pPr>
        <w:pStyle w:val="ListParagraph"/>
        <w:numPr>
          <w:ilvl w:val="1"/>
          <w:numId w:val="36"/>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4D7733">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E76797">
      <w:pPr>
        <w:pStyle w:val="ListParagraph"/>
        <w:numPr>
          <w:ilvl w:val="0"/>
          <w:numId w:val="36"/>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4D7733">
      <w:pPr>
        <w:pStyle w:val="ListParagraph"/>
        <w:numPr>
          <w:ilvl w:val="1"/>
          <w:numId w:val="36"/>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4D7733">
      <w:pPr>
        <w:pStyle w:val="ListParagraph"/>
        <w:numPr>
          <w:ilvl w:val="1"/>
          <w:numId w:val="36"/>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E76797">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3113AA">
        <w:tc>
          <w:tcPr>
            <w:tcW w:w="1796" w:type="dxa"/>
            <w:shd w:val="clear" w:color="auto" w:fill="D9E2F3" w:themeFill="accent5" w:themeFillTint="33"/>
          </w:tcPr>
          <w:p w14:paraId="685F9C78"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647D82E" w14:textId="77777777" w:rsidTr="00E535D2">
        <w:tc>
          <w:tcPr>
            <w:tcW w:w="1796" w:type="dxa"/>
          </w:tcPr>
          <w:p w14:paraId="0E96DE29" w14:textId="21786B91" w:rsidR="008B3D77" w:rsidRPr="005A76D1" w:rsidRDefault="00140E95" w:rsidP="00E535D2">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E535D2">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E535D2">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8"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E535D2">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E535D2">
            <w:pPr>
              <w:spacing w:after="0"/>
              <w:rPr>
                <w:rFonts w:ascii="Arial" w:hAnsi="Arial" w:cs="Arial"/>
              </w:rPr>
            </w:pPr>
          </w:p>
          <w:p w14:paraId="34FC1895" w14:textId="23A4FE28" w:rsidR="007F4376" w:rsidRPr="005A76D1" w:rsidRDefault="007F4376" w:rsidP="00E535D2">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3113AA">
        <w:tc>
          <w:tcPr>
            <w:tcW w:w="1796" w:type="dxa"/>
          </w:tcPr>
          <w:p w14:paraId="3790C225" w14:textId="0920A8B1" w:rsidR="00F349FB" w:rsidRPr="005A76D1" w:rsidRDefault="00FC3085" w:rsidP="003113AA">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3113AA">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w:t>
            </w:r>
            <w:r>
              <w:rPr>
                <w:rFonts w:ascii="Arial" w:hAnsi="Arial" w:cs="Arial"/>
              </w:rPr>
              <w:lastRenderedPageBreak/>
              <w:t>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924AB9">
            <w:pPr>
              <w:pStyle w:val="ListParagraph"/>
              <w:numPr>
                <w:ilvl w:val="0"/>
                <w:numId w:val="47"/>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924AB9">
            <w:pPr>
              <w:pStyle w:val="ListParagraph"/>
              <w:numPr>
                <w:ilvl w:val="0"/>
                <w:numId w:val="47"/>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lastRenderedPageBreak/>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3113AA">
        <w:tc>
          <w:tcPr>
            <w:tcW w:w="1796" w:type="dxa"/>
            <w:shd w:val="clear" w:color="auto" w:fill="D9E2F3" w:themeFill="accent5" w:themeFillTint="33"/>
          </w:tcPr>
          <w:p w14:paraId="49E166DC"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25F30A46" w14:textId="77777777" w:rsidTr="00E535D2">
        <w:tc>
          <w:tcPr>
            <w:tcW w:w="1796" w:type="dxa"/>
          </w:tcPr>
          <w:p w14:paraId="4D3D4490" w14:textId="5A7D61B6" w:rsidR="008B3D77" w:rsidRPr="005A76D1" w:rsidRDefault="005758EE" w:rsidP="00E535D2">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E535D2">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E535D2">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513EC7">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513EC7">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513EC7">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3113AA">
        <w:tc>
          <w:tcPr>
            <w:tcW w:w="1796" w:type="dxa"/>
            <w:shd w:val="clear" w:color="auto" w:fill="D9E2F3" w:themeFill="accent5" w:themeFillTint="33"/>
          </w:tcPr>
          <w:p w14:paraId="19BE975D"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3C15A77" w14:textId="77777777" w:rsidTr="00E535D2">
        <w:tc>
          <w:tcPr>
            <w:tcW w:w="1796" w:type="dxa"/>
          </w:tcPr>
          <w:p w14:paraId="77DDE4CF" w14:textId="1336D430" w:rsidR="008B3D77" w:rsidRPr="005A76D1" w:rsidRDefault="00444EA1" w:rsidP="00E535D2">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E535D2">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E535D2">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3113AA">
        <w:tc>
          <w:tcPr>
            <w:tcW w:w="1796" w:type="dxa"/>
          </w:tcPr>
          <w:p w14:paraId="09DC5C05" w14:textId="21C5443C" w:rsidR="00F349FB" w:rsidRPr="005A76D1" w:rsidRDefault="003B4C15" w:rsidP="003113AA">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3113AA">
            <w:pPr>
              <w:spacing w:after="0"/>
              <w:rPr>
                <w:rFonts w:ascii="Arial" w:hAnsi="Arial" w:cs="Arial"/>
              </w:rPr>
            </w:pPr>
            <w:r>
              <w:rPr>
                <w:rFonts w:ascii="Arial" w:hAnsi="Arial" w:cs="Arial"/>
              </w:rPr>
              <w:t>Neutral</w:t>
            </w:r>
          </w:p>
        </w:tc>
        <w:tc>
          <w:tcPr>
            <w:tcW w:w="6804" w:type="dxa"/>
            <w:shd w:val="clear" w:color="auto" w:fill="auto"/>
          </w:tcPr>
          <w:p w14:paraId="07E954CD" w14:textId="77777777"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77777777" w:rsidR="00954A29" w:rsidRDefault="00954A29" w:rsidP="00954A29">
            <w:pPr>
              <w:pStyle w:val="ListParagraph"/>
              <w:numPr>
                <w:ilvl w:val="0"/>
                <w:numId w:val="47"/>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3113AA">
        <w:tc>
          <w:tcPr>
            <w:tcW w:w="1796" w:type="dxa"/>
            <w:shd w:val="clear" w:color="auto" w:fill="D9E2F3" w:themeFill="accent5" w:themeFillTint="33"/>
          </w:tcPr>
          <w:p w14:paraId="73D3D250" w14:textId="77777777" w:rsidR="00F41CF1" w:rsidRPr="007451A8" w:rsidRDefault="00F41CF1" w:rsidP="003113AA">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20383BA7" w14:textId="77777777" w:rsidR="00F41CF1" w:rsidRPr="007451A8" w:rsidRDefault="00F41CF1"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3113AA">
            <w:pPr>
              <w:spacing w:after="0"/>
              <w:rPr>
                <w:rFonts w:ascii="Arial" w:hAnsi="Arial" w:cs="Arial"/>
                <w:b/>
              </w:rPr>
            </w:pPr>
            <w:r w:rsidRPr="007451A8">
              <w:rPr>
                <w:rFonts w:ascii="Arial" w:hAnsi="Arial" w:cs="Arial"/>
                <w:b/>
              </w:rPr>
              <w:t>Comments</w:t>
            </w:r>
          </w:p>
        </w:tc>
      </w:tr>
      <w:tr w:rsidR="008B3D77" w:rsidRPr="005A76D1" w14:paraId="1B4685B6" w14:textId="77777777" w:rsidTr="00E535D2">
        <w:tc>
          <w:tcPr>
            <w:tcW w:w="1796" w:type="dxa"/>
          </w:tcPr>
          <w:p w14:paraId="6BB8512F" w14:textId="5BD944CA" w:rsidR="008B3D77" w:rsidRPr="005A76D1" w:rsidRDefault="009D4039" w:rsidP="00E535D2">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E535D2">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E535D2">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3113AA">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943612" w:rsidRPr="005A76D1" w14:paraId="1B2AD4E4" w14:textId="77777777" w:rsidTr="00B469CC">
        <w:tc>
          <w:tcPr>
            <w:tcW w:w="1796" w:type="dxa"/>
            <w:shd w:val="clear" w:color="auto" w:fill="D9E2F3" w:themeFill="accent5" w:themeFillTint="33"/>
          </w:tcPr>
          <w:p w14:paraId="2036EFAA" w14:textId="77777777" w:rsidR="00943612" w:rsidRPr="007451A8" w:rsidRDefault="00943612" w:rsidP="00B469CC">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B469CC">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B469CC">
            <w:pPr>
              <w:spacing w:after="0"/>
              <w:rPr>
                <w:rFonts w:ascii="Arial" w:hAnsi="Arial" w:cs="Arial"/>
                <w:b/>
              </w:rPr>
            </w:pPr>
            <w:r w:rsidRPr="007451A8">
              <w:rPr>
                <w:rFonts w:ascii="Arial" w:hAnsi="Arial" w:cs="Arial"/>
                <w:b/>
              </w:rPr>
              <w:t>Comments</w:t>
            </w:r>
          </w:p>
        </w:tc>
      </w:tr>
      <w:tr w:rsidR="008B3D77" w:rsidRPr="005A76D1" w14:paraId="6F746424" w14:textId="77777777" w:rsidTr="00E535D2">
        <w:tc>
          <w:tcPr>
            <w:tcW w:w="1796" w:type="dxa"/>
          </w:tcPr>
          <w:p w14:paraId="7B844618" w14:textId="1C25043E" w:rsidR="008B3D77" w:rsidRPr="005A76D1" w:rsidRDefault="004025F2" w:rsidP="00E535D2">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E535D2">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E535D2">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B469CC">
        <w:tc>
          <w:tcPr>
            <w:tcW w:w="1796" w:type="dxa"/>
          </w:tcPr>
          <w:p w14:paraId="55360033" w14:textId="24F7E8C3" w:rsidR="00943612" w:rsidRPr="00943612" w:rsidRDefault="00163C69" w:rsidP="00B469CC">
            <w:pPr>
              <w:spacing w:after="0"/>
              <w:rPr>
                <w:rFonts w:ascii="Arial" w:hAnsi="Arial" w:cs="Arial"/>
              </w:rPr>
            </w:pPr>
            <w:r>
              <w:rPr>
                <w:rFonts w:ascii="Arial" w:hAnsi="Arial" w:cs="Arial"/>
              </w:rPr>
              <w:t>Qualcomm</w:t>
            </w:r>
          </w:p>
        </w:tc>
        <w:tc>
          <w:tcPr>
            <w:tcW w:w="1034" w:type="dxa"/>
            <w:shd w:val="clear" w:color="auto" w:fill="auto"/>
          </w:tcPr>
          <w:p w14:paraId="13B28869" w14:textId="5510640D" w:rsidR="00943612" w:rsidRPr="00943612" w:rsidRDefault="00163C69" w:rsidP="00B469CC">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B469CC">
            <w:pPr>
              <w:spacing w:after="0"/>
              <w:rPr>
                <w:rFonts w:ascii="Arial" w:hAnsi="Arial" w:cs="Arial"/>
              </w:rPr>
            </w:pPr>
            <w:r>
              <w:rPr>
                <w:rFonts w:ascii="Arial" w:hAnsi="Arial" w:cs="Arial"/>
              </w:rPr>
              <w:t xml:space="preserve">The candidate solutions mentioned in Q2~Q5 do not have to be exclusive to each other, as long as they do not conflict with each other. For example, candidate solutions in both Q2 and Q4 can be supported. </w:t>
            </w:r>
            <w:proofErr w:type="gramStart"/>
            <w:r>
              <w:rPr>
                <w:rFonts w:ascii="Arial" w:hAnsi="Arial" w:cs="Arial"/>
              </w:rPr>
              <w:t>So</w:t>
            </w:r>
            <w:proofErr w:type="gramEnd"/>
            <w:r>
              <w:rPr>
                <w:rFonts w:ascii="Arial" w:hAnsi="Arial" w:cs="Arial"/>
              </w:rPr>
              <w:t xml:space="preserve"> we can consider such possibilities too.</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0F47F1">
        <w:tc>
          <w:tcPr>
            <w:tcW w:w="1796" w:type="dxa"/>
            <w:shd w:val="clear" w:color="auto" w:fill="D9E2F3" w:themeFill="accent5" w:themeFillTint="33"/>
          </w:tcPr>
          <w:p w14:paraId="7082EFEF" w14:textId="77777777" w:rsidR="00956A4A" w:rsidRPr="007451A8" w:rsidRDefault="00956A4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0F47F1">
            <w:pPr>
              <w:spacing w:after="0"/>
              <w:rPr>
                <w:rFonts w:ascii="Arial" w:hAnsi="Arial" w:cs="Arial"/>
                <w:b/>
              </w:rPr>
            </w:pPr>
            <w:r w:rsidRPr="007451A8">
              <w:rPr>
                <w:rFonts w:ascii="Arial" w:hAnsi="Arial" w:cs="Arial"/>
                <w:b/>
              </w:rPr>
              <w:t>Comments</w:t>
            </w:r>
          </w:p>
        </w:tc>
      </w:tr>
      <w:tr w:rsidR="008B3D77" w:rsidRPr="005A76D1" w14:paraId="5A359C31" w14:textId="77777777" w:rsidTr="00E535D2">
        <w:tc>
          <w:tcPr>
            <w:tcW w:w="1796" w:type="dxa"/>
          </w:tcPr>
          <w:p w14:paraId="5F32B66E" w14:textId="2A5610C6" w:rsidR="008B3D77" w:rsidRPr="005A76D1" w:rsidRDefault="00EA377B" w:rsidP="00E535D2">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E535D2">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E535D2">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0F47F1">
        <w:tc>
          <w:tcPr>
            <w:tcW w:w="1796" w:type="dxa"/>
          </w:tcPr>
          <w:p w14:paraId="2AA3C633" w14:textId="20FC162A" w:rsidR="00956A4A" w:rsidRPr="005A76D1" w:rsidRDefault="00F70277" w:rsidP="000F47F1">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0F47F1">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0F47F1">
            <w:pPr>
              <w:spacing w:after="0"/>
              <w:rPr>
                <w:rFonts w:ascii="Arial" w:hAnsi="Arial" w:cs="Arial"/>
              </w:rPr>
            </w:pPr>
            <w:r>
              <w:rPr>
                <w:rFonts w:ascii="Arial" w:hAnsi="Arial" w:cs="Arial"/>
              </w:rPr>
              <w:t>We have reservations on the effectiveness of this method.</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0F47F1">
        <w:tc>
          <w:tcPr>
            <w:tcW w:w="1796" w:type="dxa"/>
            <w:shd w:val="clear" w:color="auto" w:fill="D9E2F3" w:themeFill="accent5" w:themeFillTint="33"/>
          </w:tcPr>
          <w:p w14:paraId="7ECE18F8"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5307AD63" w14:textId="77777777" w:rsidTr="00E535D2">
        <w:tc>
          <w:tcPr>
            <w:tcW w:w="1796" w:type="dxa"/>
          </w:tcPr>
          <w:p w14:paraId="55B5E2A9" w14:textId="3D6846A5" w:rsidR="008B3D77" w:rsidRPr="005A76D1" w:rsidRDefault="00E73D2D" w:rsidP="00E535D2">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E535D2">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E535D2">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0F47F1">
        <w:tc>
          <w:tcPr>
            <w:tcW w:w="1796" w:type="dxa"/>
          </w:tcPr>
          <w:p w14:paraId="7FD9E3F5" w14:textId="6E7D19D7" w:rsidR="00A61B0A" w:rsidRPr="005A76D1" w:rsidRDefault="00211658" w:rsidP="000F47F1">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0F47F1">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0F47F1">
            <w:pPr>
              <w:spacing w:after="0"/>
              <w:rPr>
                <w:rFonts w:ascii="Arial" w:hAnsi="Arial" w:cs="Arial"/>
              </w:rPr>
            </w:pPr>
            <w:r>
              <w:rPr>
                <w:rFonts w:ascii="Arial" w:hAnsi="Arial" w:cs="Arial"/>
              </w:rPr>
              <w:t>We think i</w:t>
            </w:r>
            <w:r>
              <w:rPr>
                <w:rFonts w:ascii="Arial" w:hAnsi="Arial" w:cs="Arial"/>
              </w:rPr>
              <w:t xml:space="preserve">t is a </w:t>
            </w:r>
            <w:r>
              <w:rPr>
                <w:rFonts w:ascii="Arial" w:hAnsi="Arial" w:cs="Arial"/>
              </w:rPr>
              <w:t xml:space="preserve">simple and </w:t>
            </w:r>
            <w:r>
              <w:rPr>
                <w:rFonts w:ascii="Arial" w:hAnsi="Arial" w:cs="Arial"/>
              </w:rPr>
              <w:t>natural extension of the current method of mapping a UE to its PO.</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0F47F1">
        <w:tc>
          <w:tcPr>
            <w:tcW w:w="1796" w:type="dxa"/>
            <w:shd w:val="clear" w:color="auto" w:fill="D9E2F3" w:themeFill="accent5" w:themeFillTint="33"/>
          </w:tcPr>
          <w:p w14:paraId="46B3FC2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C5B39B6" w14:textId="77777777" w:rsidTr="00E535D2">
        <w:tc>
          <w:tcPr>
            <w:tcW w:w="1796" w:type="dxa"/>
          </w:tcPr>
          <w:p w14:paraId="68939B4F" w14:textId="1BC73347" w:rsidR="008B3D77" w:rsidRPr="005A76D1" w:rsidRDefault="004C2209" w:rsidP="00E535D2">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E535D2">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E535D2">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0F47F1">
        <w:tc>
          <w:tcPr>
            <w:tcW w:w="1796" w:type="dxa"/>
          </w:tcPr>
          <w:p w14:paraId="17666233" w14:textId="05078EA5" w:rsidR="00A61B0A" w:rsidRPr="005A76D1" w:rsidRDefault="00EF1642" w:rsidP="000F47F1">
            <w:pPr>
              <w:spacing w:after="0"/>
              <w:rPr>
                <w:rFonts w:ascii="Arial" w:hAnsi="Arial" w:cs="Arial"/>
              </w:rPr>
            </w:pPr>
            <w:r>
              <w:rPr>
                <w:rFonts w:ascii="Arial" w:hAnsi="Arial" w:cs="Arial"/>
              </w:rPr>
              <w:lastRenderedPageBreak/>
              <w:t>Qualcomm</w:t>
            </w:r>
          </w:p>
        </w:tc>
        <w:tc>
          <w:tcPr>
            <w:tcW w:w="1034" w:type="dxa"/>
            <w:shd w:val="clear" w:color="auto" w:fill="auto"/>
          </w:tcPr>
          <w:p w14:paraId="4DD1EA0F" w14:textId="5AE89801" w:rsidR="00A61B0A" w:rsidRPr="005A76D1" w:rsidRDefault="00EF1642" w:rsidP="000F47F1">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0F47F1">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0F47F1">
        <w:tc>
          <w:tcPr>
            <w:tcW w:w="1796" w:type="dxa"/>
            <w:shd w:val="clear" w:color="auto" w:fill="D9E2F3" w:themeFill="accent5" w:themeFillTint="33"/>
          </w:tcPr>
          <w:p w14:paraId="454A081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AE5FE90" w14:textId="77777777" w:rsidTr="00E535D2">
        <w:tc>
          <w:tcPr>
            <w:tcW w:w="1796" w:type="dxa"/>
          </w:tcPr>
          <w:p w14:paraId="12C1C407" w14:textId="173FA1B4" w:rsidR="008B3D77" w:rsidRPr="005A76D1" w:rsidRDefault="00464AE0" w:rsidP="00E535D2">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E535D2">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E535D2">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0F47F1">
        <w:tc>
          <w:tcPr>
            <w:tcW w:w="1796" w:type="dxa"/>
          </w:tcPr>
          <w:p w14:paraId="5A145C90" w14:textId="099BC012" w:rsidR="00A61B0A" w:rsidRPr="005A76D1" w:rsidRDefault="005C1F11" w:rsidP="000F47F1">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0F47F1">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0F47F1">
            <w:pPr>
              <w:spacing w:after="0"/>
              <w:rPr>
                <w:rFonts w:ascii="Arial" w:hAnsi="Arial" w:cs="Arial"/>
              </w:rPr>
            </w:pPr>
            <w:r>
              <w:rPr>
                <w:rFonts w:ascii="Arial" w:hAnsi="Arial" w:cs="Arial"/>
              </w:rPr>
              <w:t>UE grouping should be based on both UE ID and UE’s release.</w:t>
            </w:r>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3113AA">
        <w:tc>
          <w:tcPr>
            <w:tcW w:w="1796" w:type="dxa"/>
            <w:shd w:val="clear" w:color="auto" w:fill="D9E2F3" w:themeFill="accent5" w:themeFillTint="33"/>
          </w:tcPr>
          <w:p w14:paraId="0DE36029" w14:textId="77777777" w:rsidR="00E76797" w:rsidRPr="00410097" w:rsidRDefault="00E76797" w:rsidP="003113AA">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3113AA">
            <w:pPr>
              <w:spacing w:after="0"/>
              <w:rPr>
                <w:rFonts w:ascii="Arial" w:hAnsi="Arial" w:cs="Arial"/>
                <w:b/>
              </w:rPr>
            </w:pPr>
            <w:r w:rsidRPr="00410097">
              <w:rPr>
                <w:rFonts w:ascii="Arial" w:hAnsi="Arial" w:cs="Arial"/>
                <w:b/>
              </w:rPr>
              <w:t>Comments</w:t>
            </w:r>
          </w:p>
        </w:tc>
      </w:tr>
      <w:tr w:rsidR="00437E8D" w:rsidRPr="005A76D1" w14:paraId="4108DACC" w14:textId="77777777" w:rsidTr="00E535D2">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437E8D">
            <w:pPr>
              <w:pStyle w:val="ListParagraph"/>
              <w:numPr>
                <w:ilvl w:val="0"/>
                <w:numId w:val="46"/>
              </w:numPr>
              <w:spacing w:after="0"/>
              <w:rPr>
                <w:rFonts w:ascii="Arial" w:hAnsi="Arial" w:cs="Arial"/>
              </w:rPr>
            </w:pPr>
            <w:r>
              <w:rPr>
                <w:rFonts w:ascii="Arial" w:hAnsi="Arial" w:cs="Arial"/>
              </w:rPr>
              <w:t>Impact on legacy Paging</w:t>
            </w:r>
          </w:p>
          <w:p w14:paraId="309576BA" w14:textId="5A74E290" w:rsidR="00437E8D" w:rsidRPr="00437E8D" w:rsidRDefault="001C0ED8" w:rsidP="00437E8D">
            <w:pPr>
              <w:pStyle w:val="ListParagraph"/>
              <w:numPr>
                <w:ilvl w:val="0"/>
                <w:numId w:val="46"/>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437E8D">
            <w:pPr>
              <w:pStyle w:val="ListParagraph"/>
              <w:numPr>
                <w:ilvl w:val="0"/>
                <w:numId w:val="46"/>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3113AA">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5957E1">
        <w:tc>
          <w:tcPr>
            <w:tcW w:w="1796" w:type="dxa"/>
            <w:shd w:val="clear" w:color="auto" w:fill="D9E2F3" w:themeFill="accent5" w:themeFillTint="33"/>
          </w:tcPr>
          <w:p w14:paraId="45D91E6F" w14:textId="77777777" w:rsidR="00C36E6F" w:rsidRPr="00410097" w:rsidRDefault="00C36E6F" w:rsidP="005957E1">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5957E1">
            <w:pPr>
              <w:spacing w:after="0"/>
              <w:rPr>
                <w:rFonts w:ascii="Arial" w:hAnsi="Arial" w:cs="Arial"/>
                <w:b/>
              </w:rPr>
            </w:pPr>
            <w:r w:rsidRPr="00410097">
              <w:rPr>
                <w:rFonts w:ascii="Arial" w:hAnsi="Arial" w:cs="Arial"/>
                <w:b/>
              </w:rPr>
              <w:t>Comments</w:t>
            </w:r>
          </w:p>
        </w:tc>
      </w:tr>
      <w:tr w:rsidR="00D6338D" w:rsidRPr="005A76D1" w14:paraId="325ADDCC" w14:textId="77777777" w:rsidTr="00E535D2">
        <w:tc>
          <w:tcPr>
            <w:tcW w:w="1796" w:type="dxa"/>
          </w:tcPr>
          <w:p w14:paraId="7E00810D" w14:textId="0BDDDCD3" w:rsidR="00D6338D" w:rsidRPr="005A76D1" w:rsidRDefault="00D6338D" w:rsidP="00E535D2">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E535D2">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5957E1">
        <w:tc>
          <w:tcPr>
            <w:tcW w:w="1796" w:type="dxa"/>
          </w:tcPr>
          <w:p w14:paraId="63378CE2" w14:textId="17C72BF6" w:rsidR="00C36E6F" w:rsidRPr="005A76D1" w:rsidRDefault="00854146" w:rsidP="005957E1">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5957E1">
            <w:pPr>
              <w:spacing w:after="0"/>
              <w:rPr>
                <w:rFonts w:ascii="Arial" w:hAnsi="Arial" w:cs="Arial"/>
              </w:rPr>
            </w:pPr>
            <w:bookmarkStart w:id="12" w:name="_GoBack"/>
            <w:r>
              <w:rPr>
                <w:rFonts w:ascii="Arial" w:hAnsi="Arial" w:cs="Arial"/>
              </w:rPr>
              <w:t>We think it is too early to discussion this question, as i</w:t>
            </w:r>
            <w:r>
              <w:rPr>
                <w:rFonts w:ascii="Arial" w:hAnsi="Arial" w:cs="Arial"/>
              </w:rPr>
              <w:t xml:space="preserve">t will largely depend on what agreements we make in RAN2. If needed, we </w:t>
            </w:r>
            <w:r>
              <w:rPr>
                <w:rFonts w:ascii="Arial" w:hAnsi="Arial" w:cs="Arial"/>
              </w:rPr>
              <w:t xml:space="preserve">can </w:t>
            </w:r>
            <w:r>
              <w:rPr>
                <w:rFonts w:ascii="Arial" w:hAnsi="Arial" w:cs="Arial"/>
              </w:rPr>
              <w:t xml:space="preserve">inform RAN1 </w:t>
            </w:r>
            <w:r>
              <w:rPr>
                <w:rFonts w:ascii="Arial" w:hAnsi="Arial" w:cs="Arial"/>
              </w:rPr>
              <w:t>those</w:t>
            </w:r>
            <w:r>
              <w:rPr>
                <w:rFonts w:ascii="Arial" w:hAnsi="Arial" w:cs="Arial"/>
              </w:rPr>
              <w:t xml:space="preserve"> agreements </w:t>
            </w:r>
            <w:r>
              <w:rPr>
                <w:rFonts w:ascii="Arial" w:hAnsi="Arial" w:cs="Arial"/>
              </w:rPr>
              <w:t>that</w:t>
            </w:r>
            <w:r>
              <w:rPr>
                <w:rFonts w:ascii="Arial" w:hAnsi="Arial" w:cs="Arial"/>
              </w:rPr>
              <w:t xml:space="preserve"> have impact on their study.</w:t>
            </w:r>
            <w:bookmarkEnd w:id="12"/>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E51D7B">
        <w:tc>
          <w:tcPr>
            <w:tcW w:w="1796" w:type="dxa"/>
            <w:shd w:val="clear" w:color="auto" w:fill="D9E2F3" w:themeFill="accent5" w:themeFillTint="33"/>
          </w:tcPr>
          <w:p w14:paraId="1000F0FB" w14:textId="77777777" w:rsidR="00730036" w:rsidRPr="00410097" w:rsidRDefault="00730036" w:rsidP="00E51D7B">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0F297A85" w14:textId="77777777" w:rsidR="00730036" w:rsidRPr="00410097" w:rsidRDefault="00730036" w:rsidP="00E51D7B">
            <w:pPr>
              <w:spacing w:after="0"/>
              <w:rPr>
                <w:rFonts w:ascii="Arial" w:hAnsi="Arial" w:cs="Arial"/>
                <w:b/>
              </w:rPr>
            </w:pPr>
            <w:r w:rsidRPr="00410097">
              <w:rPr>
                <w:rFonts w:ascii="Arial" w:hAnsi="Arial" w:cs="Arial"/>
                <w:b/>
              </w:rPr>
              <w:t>Comments</w:t>
            </w:r>
          </w:p>
        </w:tc>
      </w:tr>
      <w:tr w:rsidR="00D6338D" w:rsidRPr="005A76D1" w14:paraId="57FE6866" w14:textId="77777777" w:rsidTr="00E535D2">
        <w:tc>
          <w:tcPr>
            <w:tcW w:w="1796" w:type="dxa"/>
          </w:tcPr>
          <w:p w14:paraId="757D9B96" w14:textId="77777777" w:rsidR="00D6338D" w:rsidRPr="005A76D1" w:rsidRDefault="00D6338D" w:rsidP="00E535D2">
            <w:pPr>
              <w:spacing w:after="0"/>
              <w:rPr>
                <w:rFonts w:ascii="Arial" w:hAnsi="Arial" w:cs="Arial"/>
              </w:rPr>
            </w:pPr>
          </w:p>
        </w:tc>
        <w:tc>
          <w:tcPr>
            <w:tcW w:w="7838" w:type="dxa"/>
          </w:tcPr>
          <w:p w14:paraId="6EC6B443" w14:textId="77777777" w:rsidR="00D6338D" w:rsidRPr="005A76D1" w:rsidRDefault="00D6338D" w:rsidP="00E535D2">
            <w:pPr>
              <w:spacing w:after="0"/>
              <w:rPr>
                <w:rFonts w:ascii="Arial" w:hAnsi="Arial" w:cs="Arial"/>
              </w:rPr>
            </w:pPr>
          </w:p>
        </w:tc>
      </w:tr>
      <w:tr w:rsidR="00730036" w:rsidRPr="005A76D1" w14:paraId="56155B69" w14:textId="77777777" w:rsidTr="00E51D7B">
        <w:tc>
          <w:tcPr>
            <w:tcW w:w="1796" w:type="dxa"/>
          </w:tcPr>
          <w:p w14:paraId="59F06B88" w14:textId="77777777" w:rsidR="00730036" w:rsidRPr="005A76D1" w:rsidRDefault="00730036" w:rsidP="00E51D7B">
            <w:pPr>
              <w:spacing w:after="0"/>
              <w:rPr>
                <w:rFonts w:ascii="Arial" w:hAnsi="Arial" w:cs="Arial"/>
              </w:rPr>
            </w:pPr>
          </w:p>
        </w:tc>
        <w:tc>
          <w:tcPr>
            <w:tcW w:w="7838" w:type="dxa"/>
          </w:tcPr>
          <w:p w14:paraId="775A1645" w14:textId="77777777" w:rsidR="00730036" w:rsidRPr="005A76D1" w:rsidRDefault="00730036" w:rsidP="00E51D7B">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C67573" w:rsidP="006E5A64">
      <w:pPr>
        <w:pStyle w:val="Doc-title"/>
        <w:numPr>
          <w:ilvl w:val="0"/>
          <w:numId w:val="3"/>
        </w:numPr>
        <w:adjustRightInd w:val="0"/>
        <w:spacing w:before="0" w:after="120"/>
        <w:ind w:left="482" w:hanging="482"/>
      </w:pPr>
      <w:hyperlink r:id="rId9"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91E2" w14:textId="77777777" w:rsidR="00C67573" w:rsidRDefault="00C67573">
      <w:pPr>
        <w:pStyle w:val="TAL"/>
      </w:pPr>
      <w:r>
        <w:separator/>
      </w:r>
    </w:p>
  </w:endnote>
  <w:endnote w:type="continuationSeparator" w:id="0">
    <w:p w14:paraId="7D5C4126" w14:textId="77777777" w:rsidR="00C67573" w:rsidRDefault="00C6757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50C3B023" w:rsidR="001C7577" w:rsidRDefault="001C7577">
    <w:pPr>
      <w:pStyle w:val="Footer"/>
    </w:pPr>
    <w:r>
      <w:fldChar w:fldCharType="begin"/>
    </w:r>
    <w:r>
      <w:instrText xml:space="preserve"> PAGE   \* MERGEFORMAT </w:instrText>
    </w:r>
    <w:r>
      <w:fldChar w:fldCharType="separate"/>
    </w:r>
    <w:r w:rsidR="0013000E">
      <w:t>4</w:t>
    </w:r>
    <w:r>
      <w:fldChar w:fldCharType="end"/>
    </w:r>
  </w:p>
  <w:p w14:paraId="0FBB99F7" w14:textId="77777777" w:rsidR="001C7577" w:rsidRDefault="001C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9885F" w14:textId="77777777" w:rsidR="00C67573" w:rsidRDefault="00C67573">
      <w:pPr>
        <w:pStyle w:val="TAL"/>
      </w:pPr>
      <w:r>
        <w:separator/>
      </w:r>
    </w:p>
  </w:footnote>
  <w:footnote w:type="continuationSeparator" w:id="0">
    <w:p w14:paraId="03BBB3ED" w14:textId="77777777" w:rsidR="00C67573" w:rsidRDefault="00C6757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A69"/>
    <w:multiLevelType w:val="hybridMultilevel"/>
    <w:tmpl w:val="A79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31B5EF1"/>
    <w:multiLevelType w:val="hybridMultilevel"/>
    <w:tmpl w:val="D04C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825DD"/>
    <w:multiLevelType w:val="hybridMultilevel"/>
    <w:tmpl w:val="7B8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31AB8"/>
    <w:multiLevelType w:val="hybridMultilevel"/>
    <w:tmpl w:val="37A2D026"/>
    <w:lvl w:ilvl="0" w:tplc="A9BC29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D95AAC"/>
    <w:multiLevelType w:val="multilevel"/>
    <w:tmpl w:val="72F2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E4DB2"/>
    <w:multiLevelType w:val="hybridMultilevel"/>
    <w:tmpl w:val="EBDA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6A6DCB"/>
    <w:multiLevelType w:val="hybridMultilevel"/>
    <w:tmpl w:val="4C387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4D79"/>
    <w:multiLevelType w:val="hybridMultilevel"/>
    <w:tmpl w:val="9F748E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E6F5E"/>
    <w:multiLevelType w:val="hybridMultilevel"/>
    <w:tmpl w:val="B96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28A"/>
    <w:multiLevelType w:val="hybridMultilevel"/>
    <w:tmpl w:val="4C8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00384"/>
    <w:multiLevelType w:val="hybridMultilevel"/>
    <w:tmpl w:val="E116A642"/>
    <w:lvl w:ilvl="0" w:tplc="EDB25A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322E12"/>
    <w:multiLevelType w:val="hybridMultilevel"/>
    <w:tmpl w:val="6CBA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1256D71"/>
    <w:multiLevelType w:val="hybridMultilevel"/>
    <w:tmpl w:val="27B227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335F0"/>
    <w:multiLevelType w:val="hybridMultilevel"/>
    <w:tmpl w:val="0FD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47BF3"/>
    <w:multiLevelType w:val="hybridMultilevel"/>
    <w:tmpl w:val="003AF684"/>
    <w:lvl w:ilvl="0" w:tplc="9508F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16C76"/>
    <w:multiLevelType w:val="hybridMultilevel"/>
    <w:tmpl w:val="771C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D765E"/>
    <w:multiLevelType w:val="hybridMultilevel"/>
    <w:tmpl w:val="6F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037B2"/>
    <w:multiLevelType w:val="hybridMultilevel"/>
    <w:tmpl w:val="BC64B7E0"/>
    <w:lvl w:ilvl="0" w:tplc="A49CA8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621F1724"/>
    <w:multiLevelType w:val="hybridMultilevel"/>
    <w:tmpl w:val="BB5E91BC"/>
    <w:lvl w:ilvl="0" w:tplc="8200E1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0692C"/>
    <w:multiLevelType w:val="hybridMultilevel"/>
    <w:tmpl w:val="22FA3224"/>
    <w:lvl w:ilvl="0" w:tplc="9DAE9226">
      <w:start w:val="1"/>
      <w:numFmt w:val="bullet"/>
      <w:lvlText w:val=""/>
      <w:lvlJc w:val="left"/>
      <w:pPr>
        <w:ind w:left="1080" w:hanging="360"/>
      </w:pPr>
      <w:rPr>
        <w:rFonts w:ascii="Symbol" w:hAnsi="Symbol" w:hint="default"/>
      </w:rPr>
    </w:lvl>
    <w:lvl w:ilvl="1" w:tplc="4F48EF0E">
      <w:start w:val="1"/>
      <w:numFmt w:val="bullet"/>
      <w:lvlText w:val="o"/>
      <w:lvlJc w:val="left"/>
      <w:pPr>
        <w:ind w:left="1440" w:hanging="360"/>
      </w:pPr>
      <w:rPr>
        <w:rFonts w:ascii="Courier New" w:hAnsi="Courier New" w:cs="Courier New" w:hint="default"/>
      </w:rPr>
    </w:lvl>
    <w:lvl w:ilvl="2" w:tplc="A26C9290">
      <w:start w:val="1"/>
      <w:numFmt w:val="bullet"/>
      <w:lvlText w:val=""/>
      <w:lvlJc w:val="left"/>
      <w:pPr>
        <w:ind w:left="2160" w:hanging="360"/>
      </w:pPr>
      <w:rPr>
        <w:rFonts w:ascii="Wingdings" w:hAnsi="Wingdings" w:hint="default"/>
      </w:rPr>
    </w:lvl>
    <w:lvl w:ilvl="3" w:tplc="47C6E5C4">
      <w:start w:val="1"/>
      <w:numFmt w:val="bullet"/>
      <w:lvlText w:val=""/>
      <w:lvlJc w:val="left"/>
      <w:pPr>
        <w:ind w:left="2880" w:hanging="360"/>
      </w:pPr>
      <w:rPr>
        <w:rFonts w:ascii="Symbol" w:hAnsi="Symbol" w:hint="default"/>
      </w:rPr>
    </w:lvl>
    <w:lvl w:ilvl="4" w:tplc="4602424E">
      <w:start w:val="1"/>
      <w:numFmt w:val="bullet"/>
      <w:lvlText w:val="o"/>
      <w:lvlJc w:val="left"/>
      <w:pPr>
        <w:ind w:left="3600" w:hanging="360"/>
      </w:pPr>
      <w:rPr>
        <w:rFonts w:ascii="Courier New" w:hAnsi="Courier New" w:cs="Courier New" w:hint="default"/>
      </w:rPr>
    </w:lvl>
    <w:lvl w:ilvl="5" w:tplc="1CBE1C6A">
      <w:start w:val="1"/>
      <w:numFmt w:val="bullet"/>
      <w:lvlText w:val=""/>
      <w:lvlJc w:val="left"/>
      <w:pPr>
        <w:ind w:left="4320" w:hanging="360"/>
      </w:pPr>
      <w:rPr>
        <w:rFonts w:ascii="Wingdings" w:hAnsi="Wingdings" w:hint="default"/>
      </w:rPr>
    </w:lvl>
    <w:lvl w:ilvl="6" w:tplc="82D80D7A">
      <w:start w:val="1"/>
      <w:numFmt w:val="bullet"/>
      <w:lvlText w:val=""/>
      <w:lvlJc w:val="left"/>
      <w:pPr>
        <w:ind w:left="5040" w:hanging="360"/>
      </w:pPr>
      <w:rPr>
        <w:rFonts w:ascii="Symbol" w:hAnsi="Symbol" w:hint="default"/>
      </w:rPr>
    </w:lvl>
    <w:lvl w:ilvl="7" w:tplc="4DFAEA48">
      <w:start w:val="1"/>
      <w:numFmt w:val="bullet"/>
      <w:lvlText w:val="o"/>
      <w:lvlJc w:val="left"/>
      <w:pPr>
        <w:ind w:left="5760" w:hanging="360"/>
      </w:pPr>
      <w:rPr>
        <w:rFonts w:ascii="Courier New" w:hAnsi="Courier New" w:cs="Courier New" w:hint="default"/>
      </w:rPr>
    </w:lvl>
    <w:lvl w:ilvl="8" w:tplc="6244603E">
      <w:start w:val="1"/>
      <w:numFmt w:val="bullet"/>
      <w:lvlText w:val=""/>
      <w:lvlJc w:val="left"/>
      <w:pPr>
        <w:ind w:left="6480" w:hanging="360"/>
      </w:pPr>
      <w:rPr>
        <w:rFonts w:ascii="Wingdings" w:hAnsi="Wingdings" w:hint="default"/>
      </w:rPr>
    </w:lvl>
  </w:abstractNum>
  <w:abstractNum w:abstractNumId="30"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32" w15:restartNumberingAfterBreak="0">
    <w:nsid w:val="72307BA0"/>
    <w:multiLevelType w:val="hybridMultilevel"/>
    <w:tmpl w:val="268893D8"/>
    <w:lvl w:ilvl="0" w:tplc="347241AE">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43829"/>
    <w:multiLevelType w:val="hybridMultilevel"/>
    <w:tmpl w:val="7468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F54E9"/>
    <w:multiLevelType w:val="hybridMultilevel"/>
    <w:tmpl w:val="EE9C94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9"/>
  </w:num>
  <w:num w:numId="4">
    <w:abstractNumId w:val="2"/>
  </w:num>
  <w:num w:numId="5">
    <w:abstractNumId w:val="31"/>
  </w:num>
  <w:num w:numId="6">
    <w:abstractNumId w:val="24"/>
  </w:num>
  <w:num w:numId="7">
    <w:abstractNumId w:val="5"/>
  </w:num>
  <w:num w:numId="8">
    <w:abstractNumId w:val="21"/>
  </w:num>
  <w:num w:numId="9">
    <w:abstractNumId w:val="23"/>
  </w:num>
  <w:num w:numId="10">
    <w:abstractNumId w:val="8"/>
  </w:num>
  <w:num w:numId="11">
    <w:abstractNumId w:val="3"/>
  </w:num>
  <w:num w:numId="12">
    <w:abstractNumId w:val="7"/>
  </w:num>
  <w:num w:numId="13">
    <w:abstractNumId w:val="15"/>
  </w:num>
  <w:num w:numId="14">
    <w:abstractNumId w:val="27"/>
  </w:num>
  <w:num w:numId="15">
    <w:abstractNumId w:val="22"/>
  </w:num>
  <w:num w:numId="16">
    <w:abstractNumId w:val="29"/>
  </w:num>
  <w:num w:numId="17">
    <w:abstractNumId w:val="20"/>
  </w:num>
  <w:num w:numId="18">
    <w:abstractNumId w:val="11"/>
  </w:num>
  <w:num w:numId="19">
    <w:abstractNumId w:val="28"/>
  </w:num>
  <w:num w:numId="20">
    <w:abstractNumId w:val="32"/>
  </w:num>
  <w:num w:numId="21">
    <w:abstractNumId w:val="10"/>
  </w:num>
  <w:num w:numId="22">
    <w:abstractNumId w:val="26"/>
  </w:num>
  <w:num w:numId="23">
    <w:abstractNumId w:val="36"/>
  </w:num>
  <w:num w:numId="24">
    <w:abstractNumId w:val="6"/>
  </w:num>
  <w:num w:numId="25">
    <w:abstractNumId w:val="14"/>
  </w:num>
  <w:num w:numId="26">
    <w:abstractNumId w:val="4"/>
  </w:num>
  <w:num w:numId="27">
    <w:abstractNumId w:val="35"/>
  </w:num>
  <w:num w:numId="28">
    <w:abstractNumId w:val="2"/>
  </w:num>
  <w:num w:numId="29">
    <w:abstractNumId w:val="13"/>
  </w:num>
  <w:num w:numId="30">
    <w:abstractNumId w:val="0"/>
  </w:num>
  <w:num w:numId="31">
    <w:abstractNumId w:val="16"/>
  </w:num>
  <w:num w:numId="32">
    <w:abstractNumId w:val="1"/>
  </w:num>
  <w:num w:numId="33">
    <w:abstractNumId w:val="30"/>
  </w:num>
  <w:num w:numId="34">
    <w:abstractNumId w:val="18"/>
  </w:num>
  <w:num w:numId="35">
    <w:abstractNumId w:val="25"/>
  </w:num>
  <w:num w:numId="36">
    <w:abstractNumId w:val="1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 w:type="character" w:styleId="UnresolvedMention">
    <w:name w:val="Unresolved Mention"/>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8e/Docs/RP-2009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1-e/Docs/R2-2006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EFDF6-27BF-4F57-A80C-DE5EEEAE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317</TotalTime>
  <Pages>6</Pages>
  <Words>2752</Words>
  <Characters>15689</Characters>
  <Application>Microsoft Office Word</Application>
  <DocSecurity>0</DocSecurity>
  <Lines>130</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Linhai He</cp:lastModifiedBy>
  <cp:revision>70</cp:revision>
  <cp:lastPrinted>2007-12-21T04:58:00Z</cp:lastPrinted>
  <dcterms:created xsi:type="dcterms:W3CDTF">2020-09-17T06:14:00Z</dcterms:created>
  <dcterms:modified xsi:type="dcterms:W3CDTF">2020-10-03T05:43:00Z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ies>
</file>