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0992" w14:textId="25AB1ADD"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[Post109bis-e][941]</w:t>
      </w:r>
      <w:r w:rsidR="004234EA">
        <w:rPr>
          <w:rFonts w:ascii="Arial" w:hAnsi="Arial" w:cs="Arial"/>
          <w:bCs/>
          <w:sz w:val="24"/>
        </w:rPr>
        <w:t>[</w:t>
      </w:r>
      <w:r w:rsidR="004234EA" w:rsidRPr="004234EA">
        <w:rPr>
          <w:rFonts w:ascii="Arial" w:hAnsi="Arial" w:cs="Arial"/>
          <w:bCs/>
          <w:sz w:val="24"/>
        </w:rPr>
        <w:t>PowSav]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1"/>
        <w:numPr>
          <w:ilvl w:val="0"/>
          <w:numId w:val="2"/>
        </w:numPr>
      </w:pPr>
      <w:r>
        <w:t>Introduction</w:t>
      </w:r>
    </w:p>
    <w:p w14:paraId="035035E7" w14:textId="76F0EBEC"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C650AD">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230020">
        <w:rPr>
          <w:lang w:val="en-GB"/>
        </w:rPr>
        <w:fldChar w:fldCharType="begin"/>
      </w:r>
      <w:r w:rsidR="00230020">
        <w:rPr>
          <w:lang w:val="en-GB"/>
        </w:rPr>
        <w:instrText xml:space="preserve"> REF _Ref35420492 \r \h </w:instrText>
      </w:r>
      <w:r w:rsidR="00230020">
        <w:rPr>
          <w:lang w:val="en-GB"/>
        </w:rPr>
      </w:r>
      <w:r w:rsidR="00230020">
        <w:rPr>
          <w:lang w:val="en-GB"/>
        </w:rPr>
        <w:fldChar w:fldCharType="separate"/>
      </w:r>
      <w:r w:rsidR="00230020">
        <w:rPr>
          <w:lang w:val="en-GB"/>
        </w:rPr>
        <w:t>[2]</w:t>
      </w:r>
      <w:r w:rsidR="00230020">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[Post109bis-e][941]</w:t>
      </w:r>
      <w:r w:rsidR="004234EA">
        <w:rPr>
          <w:rFonts w:cs="Arial"/>
          <w:b/>
          <w:bCs/>
          <w:sz w:val="18"/>
          <w:szCs w:val="22"/>
        </w:rPr>
        <w:t>[</w:t>
      </w:r>
      <w:r w:rsidRPr="00D20D57">
        <w:rPr>
          <w:rFonts w:cs="Arial"/>
          <w:b/>
          <w:bCs/>
          <w:sz w:val="18"/>
          <w:szCs w:val="22"/>
        </w:rPr>
        <w:t>PowSav]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ad"/>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ad"/>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1"/>
        <w:numPr>
          <w:ilvl w:val="0"/>
          <w:numId w:val="2"/>
        </w:numPr>
      </w:pPr>
      <w:r>
        <w:t>D</w:t>
      </w:r>
      <w:r w:rsidR="00A05E61">
        <w:t>iscussion</w:t>
      </w:r>
    </w:p>
    <w:p w14:paraId="469B3317" w14:textId="42473710" w:rsidR="00C26390" w:rsidRDefault="00C26390" w:rsidP="00C26390">
      <w:pPr>
        <w:pStyle w:val="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ad"/>
        <w:numPr>
          <w:ilvl w:val="0"/>
          <w:numId w:val="31"/>
        </w:numPr>
        <w:rPr>
          <w:i/>
          <w:iCs/>
          <w:lang w:val="en-GB"/>
        </w:rPr>
      </w:pPr>
      <w:r w:rsidRPr="008F739B">
        <w:rPr>
          <w:i/>
          <w:iCs/>
          <w:lang w:val="en-GB"/>
        </w:rPr>
        <w:t>A new UE capability (referred e.g. as drx-Preference)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ad"/>
        <w:numPr>
          <w:ilvl w:val="0"/>
          <w:numId w:val="31"/>
        </w:numPr>
        <w:rPr>
          <w:i/>
          <w:iCs/>
          <w:lang w:val="en-GB"/>
        </w:rPr>
      </w:pPr>
      <w:r w:rsidRPr="008F739B">
        <w:rPr>
          <w:i/>
          <w:iCs/>
          <w:lang w:val="en-GB"/>
        </w:rPr>
        <w:t>A new UE capability (referred e.g. as maxBW-Preference)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ad"/>
        <w:numPr>
          <w:ilvl w:val="0"/>
          <w:numId w:val="31"/>
        </w:numPr>
        <w:rPr>
          <w:i/>
          <w:iCs/>
          <w:lang w:val="en-GB"/>
        </w:rPr>
      </w:pPr>
      <w:r w:rsidRPr="008F739B">
        <w:rPr>
          <w:i/>
          <w:iCs/>
          <w:lang w:val="en-GB"/>
        </w:rPr>
        <w:t>A new UE capability (referred e.g. as maxCC-Preference)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ad"/>
        <w:numPr>
          <w:ilvl w:val="0"/>
          <w:numId w:val="31"/>
        </w:numPr>
        <w:rPr>
          <w:i/>
          <w:iCs/>
          <w:lang w:val="en-GB"/>
        </w:rPr>
      </w:pPr>
      <w:r w:rsidRPr="008F739B">
        <w:rPr>
          <w:i/>
          <w:iCs/>
          <w:lang w:val="en-GB"/>
        </w:rPr>
        <w:t>A new UE capability (referred e.g. as maxMIMO-LayerPreference)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ad"/>
        <w:numPr>
          <w:ilvl w:val="0"/>
          <w:numId w:val="31"/>
        </w:numPr>
        <w:rPr>
          <w:i/>
          <w:iCs/>
          <w:lang w:val="en-GB"/>
        </w:rPr>
      </w:pPr>
      <w:r w:rsidRPr="008F739B">
        <w:rPr>
          <w:i/>
          <w:iCs/>
          <w:lang w:val="en-GB"/>
        </w:rPr>
        <w:t>It is not agreed to bundle into a separate new UE capability the support for UE’s assistance of the maxCC, maxBW and maxMIMO.</w:t>
      </w:r>
    </w:p>
    <w:p w14:paraId="360324D8" w14:textId="1F3DD8B3" w:rsidR="008F739B" w:rsidRPr="008F739B" w:rsidRDefault="008F739B" w:rsidP="008F739B">
      <w:pPr>
        <w:pStyle w:val="ad"/>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ad"/>
        <w:numPr>
          <w:ilvl w:val="0"/>
          <w:numId w:val="31"/>
        </w:numPr>
        <w:rPr>
          <w:i/>
          <w:iCs/>
          <w:lang w:val="en-GB"/>
        </w:rPr>
      </w:pPr>
      <w:r w:rsidRPr="008F739B">
        <w:rPr>
          <w:i/>
          <w:iCs/>
          <w:lang w:val="en-GB"/>
        </w:rPr>
        <w:t>New UE capability is defined for the relaxed measurement feature without signalling to the gNB, i.e. gNB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ad"/>
        <w:numPr>
          <w:ilvl w:val="0"/>
          <w:numId w:val="31"/>
        </w:numPr>
        <w:rPr>
          <w:i/>
          <w:iCs/>
          <w:lang w:val="en-GB"/>
        </w:rPr>
      </w:pPr>
      <w:r w:rsidRPr="008F739B">
        <w:rPr>
          <w:i/>
          <w:iCs/>
          <w:lang w:val="en-GB"/>
        </w:rPr>
        <w:t>For drx-Preference, maxCC-Preference, release-Preference, maxMIMO-LayerPreference, and maxBW-Preference, its characteristics are defined as as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ad"/>
        <w:numPr>
          <w:ilvl w:val="0"/>
          <w:numId w:val="31"/>
        </w:numPr>
        <w:rPr>
          <w:i/>
          <w:iCs/>
          <w:lang w:val="en-GB"/>
        </w:rPr>
      </w:pPr>
      <w:r w:rsidRPr="008F739B">
        <w:rPr>
          <w:i/>
          <w:iCs/>
          <w:lang w:val="en-GB"/>
        </w:rPr>
        <w:t>For drx-Preference, maxCC-Preference,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ad"/>
        <w:numPr>
          <w:ilvl w:val="0"/>
          <w:numId w:val="31"/>
        </w:numPr>
        <w:rPr>
          <w:i/>
          <w:iCs/>
          <w:lang w:val="en-GB"/>
        </w:rPr>
      </w:pPr>
      <w:r w:rsidRPr="008F739B">
        <w:rPr>
          <w:i/>
          <w:iCs/>
          <w:lang w:val="en-GB"/>
        </w:rPr>
        <w:t>For maxMIMO-LayerPreference, and maxBW-Preference, its characteristics are defined as “FR1-FR2 DIFF: Yes” (to the characteristic associated to FR1/FR2 are not equally applicable for FR1/FR2).</w:t>
      </w:r>
    </w:p>
    <w:p w14:paraId="4B0DA183" w14:textId="3F54C789" w:rsidR="008F739B" w:rsidRPr="008F739B" w:rsidRDefault="008F739B" w:rsidP="008F739B">
      <w:pPr>
        <w:pStyle w:val="ad"/>
        <w:numPr>
          <w:ilvl w:val="0"/>
          <w:numId w:val="31"/>
        </w:numPr>
        <w:rPr>
          <w:i/>
          <w:iCs/>
          <w:lang w:val="en-GB"/>
        </w:rPr>
      </w:pPr>
      <w:r w:rsidRPr="008F739B">
        <w:rPr>
          <w:i/>
          <w:iCs/>
          <w:lang w:val="en-GB"/>
        </w:rPr>
        <w:t>Rel-16 capability maxMIMO-LayerPreference is not linked to Rel-15 capability maxLayersMIMO-Indication</w:t>
      </w:r>
    </w:p>
    <w:p w14:paraId="4570E148" w14:textId="6B41566B"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3B35BA65" w:rsidR="00FE4059" w:rsidRDefault="00B1781D" w:rsidP="00BD48CB">
      <w:pPr>
        <w:pStyle w:val="ad"/>
        <w:numPr>
          <w:ilvl w:val="0"/>
          <w:numId w:val="6"/>
        </w:numPr>
        <w:tabs>
          <w:tab w:val="left" w:pos="360"/>
        </w:tabs>
        <w:ind w:left="360"/>
        <w:jc w:val="both"/>
        <w:rPr>
          <w:lang w:val="en-GB"/>
        </w:rPr>
      </w:pPr>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Pr>
          <w:lang w:val="en-GB"/>
        </w:rPr>
        <w:t>[1]</w:t>
      </w:r>
      <w:r>
        <w:rPr>
          <w:lang w:val="en-GB"/>
        </w:rPr>
        <w:fldChar w:fldCharType="end"/>
      </w:r>
      <w:r>
        <w:rPr>
          <w:lang w:val="en-GB"/>
        </w:rPr>
        <w:t xml:space="preserve"> that aims to capture the RAN2 UE capability related agreements shown above.</w:t>
      </w:r>
    </w:p>
    <w:tbl>
      <w:tblPr>
        <w:tblStyle w:val="af"/>
        <w:tblW w:w="0" w:type="auto"/>
        <w:tblLook w:val="04A0" w:firstRow="1" w:lastRow="0" w:firstColumn="1" w:lastColumn="0" w:noHBand="0" w:noVBand="1"/>
      </w:tblPr>
      <w:tblGrid>
        <w:gridCol w:w="1705"/>
        <w:gridCol w:w="7645"/>
      </w:tblGrid>
      <w:tr w:rsidR="00B1781D" w:rsidRPr="0019439F" w14:paraId="6FECFBA3" w14:textId="77777777" w:rsidTr="00A048C9">
        <w:tc>
          <w:tcPr>
            <w:tcW w:w="1705" w:type="dxa"/>
            <w:shd w:val="clear" w:color="auto" w:fill="A2D79B" w:themeFill="background1" w:themeFillShade="D9"/>
          </w:tcPr>
          <w:p w14:paraId="0FC9FD68" w14:textId="77777777" w:rsidR="00B1781D" w:rsidRPr="0019439F" w:rsidRDefault="00B1781D" w:rsidP="00A048C9">
            <w:pPr>
              <w:spacing w:after="0"/>
              <w:jc w:val="both"/>
              <w:rPr>
                <w:b/>
                <w:bCs/>
                <w:lang w:val="en-GB"/>
              </w:rPr>
            </w:pPr>
            <w:r w:rsidRPr="0019439F">
              <w:rPr>
                <w:b/>
                <w:bCs/>
                <w:lang w:val="en-GB"/>
              </w:rPr>
              <w:t>Company’s name</w:t>
            </w:r>
          </w:p>
        </w:tc>
        <w:tc>
          <w:tcPr>
            <w:tcW w:w="7645" w:type="dxa"/>
            <w:shd w:val="clear" w:color="auto" w:fill="A2D79B" w:themeFill="background1" w:themeFillShade="D9"/>
          </w:tcPr>
          <w:p w14:paraId="530B3494" w14:textId="77777777" w:rsidR="00B1781D" w:rsidRPr="0019439F" w:rsidRDefault="00B1781D" w:rsidP="00A048C9">
            <w:pPr>
              <w:spacing w:after="0"/>
              <w:jc w:val="both"/>
              <w:rPr>
                <w:b/>
                <w:bCs/>
                <w:lang w:val="en-GB"/>
              </w:rPr>
            </w:pPr>
            <w:r w:rsidRPr="0019439F">
              <w:rPr>
                <w:b/>
                <w:bCs/>
                <w:lang w:val="en-GB"/>
              </w:rPr>
              <w:t xml:space="preserve">Company’s </w:t>
            </w:r>
            <w:r>
              <w:rPr>
                <w:b/>
                <w:bCs/>
                <w:lang w:val="en-GB"/>
              </w:rPr>
              <w:t>comments, if any</w:t>
            </w:r>
          </w:p>
        </w:tc>
      </w:tr>
      <w:tr w:rsidR="002C6888" w14:paraId="546AF918" w14:textId="77777777" w:rsidTr="00A048C9">
        <w:tc>
          <w:tcPr>
            <w:tcW w:w="1705" w:type="dxa"/>
          </w:tcPr>
          <w:p w14:paraId="717E8F4D" w14:textId="5321E1C6"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7645" w:type="dxa"/>
          </w:tcPr>
          <w:p w14:paraId="1F4C7D2D" w14:textId="43D7E8F5" w:rsidR="002C6888" w:rsidRDefault="002C6888" w:rsidP="002C6888">
            <w:pPr>
              <w:spacing w:after="0"/>
              <w:jc w:val="both"/>
              <w:rPr>
                <w:lang w:val="en-GB" w:eastAsia="zh-CN"/>
              </w:rPr>
            </w:pPr>
            <w:r>
              <w:rPr>
                <w:lang w:val="en-GB" w:eastAsia="zh-CN"/>
              </w:rPr>
              <w:t xml:space="preserve">We think </w:t>
            </w:r>
            <w:r>
              <w:rPr>
                <w:lang w:val="en-GB" w:eastAsia="zh-CN"/>
              </w:rPr>
              <w:t>some</w:t>
            </w:r>
            <w:r>
              <w:rPr>
                <w:lang w:val="en-GB" w:eastAsia="zh-CN"/>
              </w:rPr>
              <w:t xml:space="preserve"> description of relaxed measurement</w:t>
            </w:r>
            <w:r w:rsidRPr="00F24F89">
              <w:rPr>
                <w:lang w:val="en-GB" w:eastAsia="zh-CN"/>
              </w:rPr>
              <w:t xml:space="preserve"> should be given in </w:t>
            </w:r>
            <w:r>
              <w:rPr>
                <w:lang w:val="en-GB" w:eastAsia="zh-CN"/>
              </w:rPr>
              <w:t>the table of section 5, e.g. relax RRM measurement for neighbouring cells when UE is in RRC IDLE/INACTIVE mode.</w:t>
            </w:r>
          </w:p>
        </w:tc>
      </w:tr>
      <w:tr w:rsidR="00B1781D" w14:paraId="6B8FEBA3" w14:textId="77777777" w:rsidTr="00A048C9">
        <w:tc>
          <w:tcPr>
            <w:tcW w:w="1705" w:type="dxa"/>
          </w:tcPr>
          <w:p w14:paraId="26E2EE14" w14:textId="77777777" w:rsidR="00B1781D" w:rsidRDefault="00B1781D" w:rsidP="00A048C9">
            <w:pPr>
              <w:spacing w:after="0"/>
              <w:jc w:val="both"/>
              <w:rPr>
                <w:lang w:val="en-GB" w:eastAsia="zh-CN"/>
              </w:rPr>
            </w:pPr>
          </w:p>
        </w:tc>
        <w:tc>
          <w:tcPr>
            <w:tcW w:w="7645" w:type="dxa"/>
          </w:tcPr>
          <w:p w14:paraId="6AD43F5E" w14:textId="77777777" w:rsidR="00B1781D" w:rsidRPr="006B5FC3" w:rsidRDefault="00B1781D" w:rsidP="00A048C9">
            <w:pPr>
              <w:spacing w:after="0"/>
              <w:jc w:val="both"/>
              <w:rPr>
                <w:lang w:val="en-GB" w:eastAsia="zh-CN"/>
              </w:rPr>
            </w:pPr>
          </w:p>
        </w:tc>
      </w:tr>
      <w:tr w:rsidR="00B1781D" w14:paraId="4C6EF51F" w14:textId="77777777" w:rsidTr="00A048C9">
        <w:tc>
          <w:tcPr>
            <w:tcW w:w="1705" w:type="dxa"/>
          </w:tcPr>
          <w:p w14:paraId="0B4FBB0A" w14:textId="77777777" w:rsidR="00B1781D" w:rsidRDefault="00B1781D" w:rsidP="00A048C9">
            <w:pPr>
              <w:spacing w:after="0"/>
              <w:jc w:val="both"/>
              <w:rPr>
                <w:lang w:val="en-GB" w:eastAsia="zh-CN"/>
              </w:rPr>
            </w:pPr>
          </w:p>
        </w:tc>
        <w:tc>
          <w:tcPr>
            <w:tcW w:w="7645" w:type="dxa"/>
          </w:tcPr>
          <w:p w14:paraId="0CC714A0" w14:textId="77777777" w:rsidR="00B1781D" w:rsidRDefault="00B1781D" w:rsidP="00A048C9">
            <w:pPr>
              <w:spacing w:after="0"/>
              <w:rPr>
                <w:lang w:val="en-GB" w:eastAsia="zh-CN"/>
              </w:rPr>
            </w:pPr>
          </w:p>
        </w:tc>
      </w:tr>
    </w:tbl>
    <w:p w14:paraId="77CB66AB" w14:textId="77777777" w:rsidR="00C26390" w:rsidRDefault="00C26390" w:rsidP="00FE4059">
      <w:pPr>
        <w:jc w:val="both"/>
        <w:rPr>
          <w:lang w:val="en-GB"/>
        </w:rPr>
      </w:pPr>
    </w:p>
    <w:p w14:paraId="6A118CC1" w14:textId="088EC1D7" w:rsidR="004234EA" w:rsidRDefault="008F739B" w:rsidP="00C26390">
      <w:pPr>
        <w:pStyle w:val="3"/>
      </w:pPr>
      <w:r>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4CD44230" w:rsidR="00204A06" w:rsidRPr="008E1A79" w:rsidRDefault="00204A06" w:rsidP="00204A06">
      <w:pPr>
        <w:pStyle w:val="ad"/>
        <w:numPr>
          <w:ilvl w:val="0"/>
          <w:numId w:val="6"/>
        </w:numPr>
        <w:tabs>
          <w:tab w:val="left" w:pos="360"/>
        </w:tabs>
        <w:spacing w:after="120"/>
        <w:ind w:left="360"/>
        <w:jc w:val="both"/>
        <w:rPr>
          <w:lang w:val="en-GB"/>
        </w:rPr>
      </w:pPr>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A905C9">
        <w:t>Annex A</w:t>
      </w:r>
      <w:r w:rsidR="00A905C9">
        <w:rPr>
          <w:lang w:val="en-GB"/>
        </w:rPr>
        <w:fldChar w:fldCharType="end"/>
      </w:r>
      <w:r w:rsidR="00A905C9">
        <w:rPr>
          <w:lang w:val="en-GB"/>
        </w:rPr>
        <w:t>.</w:t>
      </w:r>
    </w:p>
    <w:p w14:paraId="58A6BDB7" w14:textId="7C30F705" w:rsidR="00204A06" w:rsidRDefault="00204A06" w:rsidP="00204A06">
      <w:pPr>
        <w:pStyle w:val="ad"/>
        <w:numPr>
          <w:ilvl w:val="0"/>
          <w:numId w:val="9"/>
        </w:numPr>
        <w:tabs>
          <w:tab w:val="left" w:pos="360"/>
        </w:tabs>
        <w:jc w:val="both"/>
        <w:rPr>
          <w:lang w:val="en-GB"/>
        </w:rPr>
      </w:pPr>
      <w:bookmarkStart w:id="4"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4"/>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UE-NR-Capability-v16xy ::=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nonCriticalExtension</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UE-NR-CapabilityAddFRX-Mode-v16xy ::=    SEQUENCE {</w:t>
      </w:r>
    </w:p>
    <w:p w14:paraId="0B67C83E" w14:textId="736EA9BB" w:rsidR="009F317B" w:rsidRPr="009F317B" w:rsidRDefault="009F317B" w:rsidP="00110278">
      <w:pPr>
        <w:pStyle w:val="PL"/>
        <w:ind w:left="90"/>
        <w:rPr>
          <w:rFonts w:cs="Courier New"/>
          <w:color w:val="0000CC"/>
          <w:szCs w:val="16"/>
          <w:u w:val="single"/>
        </w:rPr>
      </w:pPr>
      <w:r w:rsidRPr="009F317B">
        <w:rPr>
          <w:color w:val="0000CC"/>
          <w:u w:val="single"/>
        </w:rPr>
        <w:t>   </w:t>
      </w:r>
      <w:bookmarkStart w:id="5"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5"/>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ad"/>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ad"/>
        <w:tabs>
          <w:tab w:val="left" w:pos="360"/>
        </w:tabs>
        <w:ind w:left="1080"/>
        <w:jc w:val="both"/>
        <w:rPr>
          <w:lang w:val="en-GB"/>
        </w:rPr>
      </w:pPr>
    </w:p>
    <w:p w14:paraId="0B12D712" w14:textId="7D816C54" w:rsidR="009F317B" w:rsidRPr="009F317B" w:rsidRDefault="00A905C9" w:rsidP="009F317B">
      <w:pPr>
        <w:pStyle w:val="ad"/>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ad"/>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af"/>
        <w:tblW w:w="0" w:type="auto"/>
        <w:tblLook w:val="04A0" w:firstRow="1" w:lastRow="0" w:firstColumn="1" w:lastColumn="0" w:noHBand="0" w:noVBand="1"/>
      </w:tblPr>
      <w:tblGrid>
        <w:gridCol w:w="1795"/>
        <w:gridCol w:w="1080"/>
        <w:gridCol w:w="6475"/>
      </w:tblGrid>
      <w:tr w:rsidR="00204A06" w:rsidRPr="0019439F" w14:paraId="2E5F5664" w14:textId="77777777" w:rsidTr="008C65C6">
        <w:tc>
          <w:tcPr>
            <w:tcW w:w="1795" w:type="dxa"/>
            <w:shd w:val="clear" w:color="auto" w:fill="A2D79B" w:themeFill="background1" w:themeFillShade="D9"/>
          </w:tcPr>
          <w:p w14:paraId="2DD948B3" w14:textId="77777777" w:rsidR="00204A06" w:rsidRPr="00951001" w:rsidRDefault="00204A06" w:rsidP="008C65C6">
            <w:pPr>
              <w:spacing w:after="0"/>
              <w:jc w:val="both"/>
              <w:rPr>
                <w:b/>
                <w:bCs/>
                <w:lang w:val="en-GB"/>
              </w:rPr>
            </w:pPr>
            <w:r w:rsidRPr="00951001">
              <w:rPr>
                <w:b/>
                <w:bCs/>
                <w:lang w:val="en-GB"/>
              </w:rPr>
              <w:t>Company’s name</w:t>
            </w:r>
          </w:p>
        </w:tc>
        <w:tc>
          <w:tcPr>
            <w:tcW w:w="1080" w:type="dxa"/>
            <w:shd w:val="clear" w:color="auto" w:fill="A2D79B" w:themeFill="background1" w:themeFillShade="D9"/>
          </w:tcPr>
          <w:p w14:paraId="03C6C656" w14:textId="77777777" w:rsidR="00204A06" w:rsidRPr="00951001" w:rsidRDefault="00204A06" w:rsidP="008C65C6">
            <w:pPr>
              <w:spacing w:after="0"/>
              <w:jc w:val="both"/>
              <w:rPr>
                <w:b/>
                <w:bCs/>
                <w:lang w:val="en-GB"/>
              </w:rPr>
            </w:pPr>
            <w:r w:rsidRPr="00951001">
              <w:rPr>
                <w:b/>
                <w:bCs/>
                <w:lang w:val="en-GB"/>
              </w:rPr>
              <w:t>Option</w:t>
            </w:r>
          </w:p>
        </w:tc>
        <w:tc>
          <w:tcPr>
            <w:tcW w:w="6475" w:type="dxa"/>
            <w:shd w:val="clear" w:color="auto" w:fill="A2D79B" w:themeFill="background1" w:themeFillShade="D9"/>
          </w:tcPr>
          <w:p w14:paraId="7BB37368" w14:textId="77777777" w:rsidR="00204A06" w:rsidRPr="00BB6989" w:rsidRDefault="00204A06" w:rsidP="008C65C6">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8C65C6">
        <w:tc>
          <w:tcPr>
            <w:tcW w:w="1795" w:type="dxa"/>
          </w:tcPr>
          <w:p w14:paraId="1A820CAD" w14:textId="2128D446" w:rsidR="00204A06" w:rsidRPr="00BB6989" w:rsidRDefault="0010502B" w:rsidP="008C65C6">
            <w:pPr>
              <w:spacing w:after="0"/>
              <w:jc w:val="both"/>
              <w:rPr>
                <w:lang w:val="en-GB" w:eastAsia="zh-CN"/>
              </w:rPr>
            </w:pPr>
            <w:r>
              <w:rPr>
                <w:lang w:val="en-GB" w:eastAsia="zh-CN"/>
              </w:rPr>
              <w:t>Intel</w:t>
            </w:r>
          </w:p>
        </w:tc>
        <w:tc>
          <w:tcPr>
            <w:tcW w:w="1080" w:type="dxa"/>
          </w:tcPr>
          <w:p w14:paraId="0A2D143B" w14:textId="68615752" w:rsidR="00204A06" w:rsidRPr="00BB6989" w:rsidRDefault="0010502B" w:rsidP="008C65C6">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8C65C6">
            <w:pPr>
              <w:spacing w:after="0"/>
              <w:jc w:val="both"/>
              <w:rPr>
                <w:lang w:val="en-GB" w:eastAsia="zh-CN"/>
              </w:rPr>
            </w:pPr>
          </w:p>
        </w:tc>
      </w:tr>
      <w:tr w:rsidR="00204A06" w:rsidRPr="00434FBF" w14:paraId="51358D9F" w14:textId="77777777" w:rsidTr="008C65C6">
        <w:tc>
          <w:tcPr>
            <w:tcW w:w="1795" w:type="dxa"/>
          </w:tcPr>
          <w:p w14:paraId="26AFF1E8" w14:textId="26F8A526" w:rsidR="00204A06" w:rsidRPr="00EA0E57" w:rsidRDefault="002C6888" w:rsidP="008C65C6">
            <w:pPr>
              <w:spacing w:after="0"/>
              <w:jc w:val="both"/>
              <w:rPr>
                <w:lang w:val="en-GB" w:eastAsia="zh-CN"/>
              </w:rPr>
            </w:pPr>
            <w:r>
              <w:rPr>
                <w:rFonts w:hint="eastAsia"/>
                <w:lang w:val="en-GB" w:eastAsia="zh-CN"/>
              </w:rPr>
              <w:t>O</w:t>
            </w:r>
            <w:r>
              <w:rPr>
                <w:lang w:val="en-GB" w:eastAsia="zh-CN"/>
              </w:rPr>
              <w:t>PPO</w:t>
            </w:r>
          </w:p>
        </w:tc>
        <w:tc>
          <w:tcPr>
            <w:tcW w:w="1080" w:type="dxa"/>
          </w:tcPr>
          <w:p w14:paraId="46E0122B" w14:textId="7B271138" w:rsidR="00204A06" w:rsidRPr="00EA0E57" w:rsidRDefault="002C6888" w:rsidP="002C6888">
            <w:pPr>
              <w:spacing w:after="0"/>
              <w:jc w:val="both"/>
              <w:rPr>
                <w:lang w:val="en-GB" w:eastAsia="zh-CN"/>
              </w:rPr>
            </w:pPr>
            <w:r>
              <w:rPr>
                <w:lang w:val="en-GB" w:eastAsia="zh-CN"/>
              </w:rPr>
              <w:t>Option a)</w:t>
            </w:r>
            <w:r>
              <w:rPr>
                <w:lang w:val="en-GB" w:eastAsia="zh-CN"/>
              </w:rPr>
              <w:t xml:space="preserve"> or </w:t>
            </w:r>
            <w:r>
              <w:rPr>
                <w:lang w:val="en-GB" w:eastAsia="zh-CN"/>
              </w:rPr>
              <w:t xml:space="preserve">Option </w:t>
            </w:r>
            <w:r>
              <w:rPr>
                <w:lang w:val="en-GB" w:eastAsia="zh-CN"/>
              </w:rPr>
              <w:t>b</w:t>
            </w:r>
            <w:r>
              <w:rPr>
                <w:lang w:val="en-GB" w:eastAsia="zh-CN"/>
              </w:rPr>
              <w:t>)</w:t>
            </w:r>
          </w:p>
        </w:tc>
        <w:tc>
          <w:tcPr>
            <w:tcW w:w="6475" w:type="dxa"/>
          </w:tcPr>
          <w:p w14:paraId="1D25E100" w14:textId="4FCDDE62" w:rsidR="00204A06" w:rsidRPr="002C6888" w:rsidRDefault="002C6888" w:rsidP="008C65C6">
            <w:pPr>
              <w:spacing w:after="0"/>
              <w:jc w:val="both"/>
              <w:rPr>
                <w:lang w:val="en-GB" w:eastAsia="zh-CN"/>
              </w:rPr>
            </w:pPr>
            <w:r>
              <w:rPr>
                <w:lang w:val="en-GB" w:eastAsia="zh-CN"/>
              </w:rPr>
              <w:t>Both options are ok for us.</w:t>
            </w:r>
          </w:p>
        </w:tc>
      </w:tr>
      <w:tr w:rsidR="00204A06" w:rsidRPr="00434FBF" w14:paraId="3BDD7AEA" w14:textId="77777777" w:rsidTr="008C65C6">
        <w:tc>
          <w:tcPr>
            <w:tcW w:w="1795" w:type="dxa"/>
          </w:tcPr>
          <w:p w14:paraId="0E86F7B0" w14:textId="77777777" w:rsidR="00204A06" w:rsidRPr="00EA0E57" w:rsidRDefault="00204A06" w:rsidP="008C65C6">
            <w:pPr>
              <w:spacing w:after="0"/>
              <w:jc w:val="both"/>
              <w:rPr>
                <w:lang w:val="en-GB" w:eastAsia="zh-CN"/>
              </w:rPr>
            </w:pPr>
          </w:p>
        </w:tc>
        <w:tc>
          <w:tcPr>
            <w:tcW w:w="1080" w:type="dxa"/>
          </w:tcPr>
          <w:p w14:paraId="6AD8D621" w14:textId="77777777" w:rsidR="00204A06" w:rsidRPr="00EA0E57" w:rsidRDefault="00204A06" w:rsidP="008C65C6">
            <w:pPr>
              <w:spacing w:after="0"/>
              <w:jc w:val="both"/>
              <w:rPr>
                <w:lang w:val="en-GB" w:eastAsia="zh-CN"/>
              </w:rPr>
            </w:pPr>
          </w:p>
        </w:tc>
        <w:tc>
          <w:tcPr>
            <w:tcW w:w="6475" w:type="dxa"/>
          </w:tcPr>
          <w:p w14:paraId="1B9B9CDD" w14:textId="77777777" w:rsidR="00204A06" w:rsidRPr="00D20D57" w:rsidRDefault="00204A06" w:rsidP="008C65C6">
            <w:pPr>
              <w:spacing w:after="0"/>
              <w:jc w:val="both"/>
              <w:rPr>
                <w:lang w:val="en-GB" w:eastAsia="zh-CN"/>
              </w:rPr>
            </w:pPr>
          </w:p>
        </w:tc>
      </w:tr>
    </w:tbl>
    <w:p w14:paraId="3AC1386D" w14:textId="365EC14A" w:rsidR="00204A06" w:rsidRDefault="00204A06" w:rsidP="00204A06">
      <w:pPr>
        <w:jc w:val="both"/>
        <w:rPr>
          <w:lang w:val="en-GB"/>
        </w:rPr>
      </w:pPr>
    </w:p>
    <w:p w14:paraId="2A71DF1C" w14:textId="5899BB55" w:rsidR="001A3ABD" w:rsidRDefault="001A3ABD" w:rsidP="001A3ABD">
      <w:pPr>
        <w:pStyle w:val="ad"/>
        <w:numPr>
          <w:ilvl w:val="0"/>
          <w:numId w:val="6"/>
        </w:numPr>
        <w:tabs>
          <w:tab w:val="left" w:pos="360"/>
        </w:tabs>
        <w:ind w:left="360"/>
        <w:jc w:val="both"/>
        <w:rPr>
          <w:lang w:val="en-GB"/>
        </w:rPr>
      </w:pPr>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r>
        <w:rPr>
          <w:lang w:val="en-GB"/>
        </w:rPr>
        <w:t>[2]</w:t>
      </w:r>
      <w:r>
        <w:rPr>
          <w:lang w:val="en-GB"/>
        </w:rPr>
        <w:fldChar w:fldCharType="end"/>
      </w:r>
      <w:r>
        <w:rPr>
          <w:lang w:val="en-GB"/>
        </w:rPr>
        <w:t xml:space="preserve"> considering e.g. POW-SAV (currently used on version _v2), PS, UPS or </w:t>
      </w:r>
      <w:r w:rsidR="00BA73CD">
        <w:rPr>
          <w:lang w:val="en-GB"/>
        </w:rPr>
        <w:t>UPW</w:t>
      </w:r>
      <w:r>
        <w:rPr>
          <w:lang w:val="en-GB"/>
        </w:rPr>
        <w:t>.</w:t>
      </w:r>
    </w:p>
    <w:tbl>
      <w:tblPr>
        <w:tblStyle w:val="af"/>
        <w:tblW w:w="0" w:type="auto"/>
        <w:tblLook w:val="04A0" w:firstRow="1" w:lastRow="0" w:firstColumn="1" w:lastColumn="0" w:noHBand="0" w:noVBand="1"/>
      </w:tblPr>
      <w:tblGrid>
        <w:gridCol w:w="1885"/>
        <w:gridCol w:w="2250"/>
        <w:gridCol w:w="5215"/>
      </w:tblGrid>
      <w:tr w:rsidR="001A3ABD" w:rsidRPr="0019439F" w14:paraId="155697D7" w14:textId="77777777" w:rsidTr="0069149E">
        <w:tc>
          <w:tcPr>
            <w:tcW w:w="1885" w:type="dxa"/>
            <w:shd w:val="clear" w:color="auto" w:fill="A2D79B" w:themeFill="background1" w:themeFillShade="D9"/>
          </w:tcPr>
          <w:p w14:paraId="6D88F4EF" w14:textId="77777777" w:rsidR="001A3ABD" w:rsidRPr="0019439F" w:rsidRDefault="001A3ABD" w:rsidP="0069149E">
            <w:pPr>
              <w:spacing w:after="0"/>
              <w:jc w:val="both"/>
              <w:rPr>
                <w:b/>
                <w:bCs/>
                <w:lang w:val="en-GB"/>
              </w:rPr>
            </w:pPr>
            <w:r w:rsidRPr="0019439F">
              <w:rPr>
                <w:b/>
                <w:bCs/>
                <w:lang w:val="en-GB"/>
              </w:rPr>
              <w:t>Company’s name</w:t>
            </w:r>
          </w:p>
        </w:tc>
        <w:tc>
          <w:tcPr>
            <w:tcW w:w="2250" w:type="dxa"/>
            <w:shd w:val="clear" w:color="auto" w:fill="A2D79B" w:themeFill="background1" w:themeFillShade="D9"/>
          </w:tcPr>
          <w:p w14:paraId="3A2964C5" w14:textId="77777777" w:rsidR="001A3ABD" w:rsidRPr="0019439F" w:rsidRDefault="001A3ABD" w:rsidP="0069149E">
            <w:pPr>
              <w:spacing w:after="0"/>
              <w:jc w:val="both"/>
              <w:rPr>
                <w:b/>
                <w:bCs/>
                <w:lang w:val="en-GB"/>
              </w:rPr>
            </w:pPr>
            <w:r>
              <w:rPr>
                <w:b/>
                <w:bCs/>
                <w:lang w:val="en-GB"/>
              </w:rPr>
              <w:t>Preferred terminology</w:t>
            </w:r>
          </w:p>
        </w:tc>
        <w:tc>
          <w:tcPr>
            <w:tcW w:w="5215" w:type="dxa"/>
            <w:shd w:val="clear" w:color="auto" w:fill="A2D79B" w:themeFill="background1" w:themeFillShade="D9"/>
          </w:tcPr>
          <w:p w14:paraId="610B9B6D" w14:textId="77777777" w:rsidR="001A3ABD" w:rsidRPr="0019439F" w:rsidRDefault="001A3ABD" w:rsidP="0069149E">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69149E">
        <w:tc>
          <w:tcPr>
            <w:tcW w:w="1885" w:type="dxa"/>
          </w:tcPr>
          <w:p w14:paraId="360BD485" w14:textId="38AAA53A" w:rsidR="001A3ABD" w:rsidRDefault="0010502B" w:rsidP="0069149E">
            <w:pPr>
              <w:spacing w:after="0"/>
              <w:jc w:val="both"/>
              <w:rPr>
                <w:lang w:val="en-GB" w:eastAsia="zh-CN"/>
              </w:rPr>
            </w:pPr>
            <w:r>
              <w:rPr>
                <w:lang w:val="en-GB" w:eastAsia="zh-CN"/>
              </w:rPr>
              <w:t>Intel</w:t>
            </w:r>
          </w:p>
        </w:tc>
        <w:tc>
          <w:tcPr>
            <w:tcW w:w="2250" w:type="dxa"/>
          </w:tcPr>
          <w:p w14:paraId="7EE4BBBE" w14:textId="54DF536C" w:rsidR="001A3ABD" w:rsidRDefault="0010502B" w:rsidP="0069149E">
            <w:pPr>
              <w:spacing w:after="0"/>
              <w:jc w:val="both"/>
              <w:rPr>
                <w:lang w:val="en-GB" w:eastAsia="zh-CN"/>
              </w:rPr>
            </w:pPr>
            <w:r>
              <w:rPr>
                <w:lang w:val="en-GB" w:eastAsia="zh-CN"/>
              </w:rPr>
              <w:t>POW-SAV</w:t>
            </w:r>
          </w:p>
        </w:tc>
        <w:tc>
          <w:tcPr>
            <w:tcW w:w="5215" w:type="dxa"/>
          </w:tcPr>
          <w:p w14:paraId="28036887" w14:textId="452A6E84" w:rsidR="001A3ABD" w:rsidRDefault="0010502B" w:rsidP="0069149E">
            <w:pPr>
              <w:spacing w:after="0"/>
              <w:jc w:val="both"/>
              <w:rPr>
                <w:lang w:val="en-GB" w:eastAsia="zh-CN"/>
              </w:rPr>
            </w:pPr>
            <w:r>
              <w:rPr>
                <w:lang w:val="en-GB" w:eastAsia="zh-CN"/>
              </w:rPr>
              <w:t>We are OK going with majority view on the term to use</w:t>
            </w:r>
          </w:p>
        </w:tc>
      </w:tr>
      <w:tr w:rsidR="002C6888" w14:paraId="22B3EDB2" w14:textId="77777777" w:rsidTr="0069149E">
        <w:tc>
          <w:tcPr>
            <w:tcW w:w="1885" w:type="dxa"/>
          </w:tcPr>
          <w:p w14:paraId="62D6BBD8" w14:textId="6D67BCEF"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2250" w:type="dxa"/>
          </w:tcPr>
          <w:p w14:paraId="62F13F6F" w14:textId="32D8CC91" w:rsidR="002C6888" w:rsidRPr="006B5FC3" w:rsidRDefault="002C6888" w:rsidP="002C6888">
            <w:pPr>
              <w:spacing w:after="0"/>
              <w:jc w:val="both"/>
              <w:rPr>
                <w:lang w:val="en-GB" w:eastAsia="zh-CN"/>
              </w:rPr>
            </w:pPr>
            <w:r>
              <w:rPr>
                <w:rFonts w:hint="eastAsia"/>
                <w:lang w:val="en-GB" w:eastAsia="zh-CN"/>
              </w:rPr>
              <w:t>P</w:t>
            </w:r>
            <w:r>
              <w:rPr>
                <w:lang w:val="en-GB" w:eastAsia="zh-CN"/>
              </w:rPr>
              <w:t>S or UPS</w:t>
            </w:r>
          </w:p>
        </w:tc>
        <w:tc>
          <w:tcPr>
            <w:tcW w:w="5215" w:type="dxa"/>
          </w:tcPr>
          <w:p w14:paraId="5C1B69BA" w14:textId="422C9504" w:rsidR="002C6888" w:rsidRPr="006B5FC3" w:rsidRDefault="002C6888" w:rsidP="002C6888">
            <w:pPr>
              <w:spacing w:after="0"/>
              <w:jc w:val="both"/>
              <w:rPr>
                <w:lang w:val="en-GB" w:eastAsia="zh-CN"/>
              </w:rPr>
            </w:pPr>
            <w:r>
              <w:rPr>
                <w:lang w:val="en-GB" w:eastAsia="zh-CN"/>
              </w:rPr>
              <w:t xml:space="preserve">It is </w:t>
            </w:r>
            <w:r w:rsidRPr="00EB4270">
              <w:rPr>
                <w:lang w:val="en-GB" w:eastAsia="zh-CN"/>
              </w:rPr>
              <w:t>brief</w:t>
            </w:r>
            <w:r>
              <w:rPr>
                <w:lang w:val="en-GB" w:eastAsia="zh-CN"/>
              </w:rPr>
              <w:t xml:space="preserve"> and clear to </w:t>
            </w:r>
            <w:r>
              <w:rPr>
                <w:lang w:val="en-GB"/>
              </w:rPr>
              <w:t xml:space="preserve">abbreviating with </w:t>
            </w:r>
            <w:r>
              <w:rPr>
                <w:lang w:val="en-GB" w:eastAsia="zh-CN"/>
              </w:rPr>
              <w:t xml:space="preserve">the capitals. </w:t>
            </w:r>
          </w:p>
        </w:tc>
      </w:tr>
      <w:tr w:rsidR="001A3ABD" w14:paraId="7577A090" w14:textId="77777777" w:rsidTr="0069149E">
        <w:tc>
          <w:tcPr>
            <w:tcW w:w="1885" w:type="dxa"/>
          </w:tcPr>
          <w:p w14:paraId="6BB2996E" w14:textId="77777777" w:rsidR="001A3ABD" w:rsidRDefault="001A3ABD" w:rsidP="0069149E">
            <w:pPr>
              <w:spacing w:after="0"/>
              <w:jc w:val="both"/>
              <w:rPr>
                <w:lang w:val="en-GB" w:eastAsia="zh-CN"/>
              </w:rPr>
            </w:pPr>
          </w:p>
        </w:tc>
        <w:tc>
          <w:tcPr>
            <w:tcW w:w="2250" w:type="dxa"/>
          </w:tcPr>
          <w:p w14:paraId="3DB51403" w14:textId="77777777" w:rsidR="001A3ABD" w:rsidRDefault="001A3ABD" w:rsidP="0069149E">
            <w:pPr>
              <w:spacing w:after="0"/>
              <w:rPr>
                <w:lang w:val="en-GB" w:eastAsia="zh-CN"/>
              </w:rPr>
            </w:pPr>
          </w:p>
        </w:tc>
        <w:tc>
          <w:tcPr>
            <w:tcW w:w="5215" w:type="dxa"/>
          </w:tcPr>
          <w:p w14:paraId="66CD8517" w14:textId="77777777" w:rsidR="001A3ABD" w:rsidRDefault="001A3ABD" w:rsidP="0069149E">
            <w:pPr>
              <w:spacing w:after="0"/>
              <w:rPr>
                <w:lang w:val="en-GB" w:eastAsia="zh-CN"/>
              </w:rPr>
            </w:pPr>
          </w:p>
        </w:tc>
      </w:tr>
    </w:tbl>
    <w:p w14:paraId="0957B305" w14:textId="77777777" w:rsidR="001A3ABD" w:rsidRDefault="001A3ABD" w:rsidP="001A3ABD">
      <w:pPr>
        <w:jc w:val="both"/>
        <w:rPr>
          <w:lang w:val="en-GB"/>
        </w:rPr>
      </w:pPr>
    </w:p>
    <w:p w14:paraId="0E786134" w14:textId="64870EC6" w:rsidR="00B1781D" w:rsidRDefault="00B1781D" w:rsidP="00B1781D">
      <w:pPr>
        <w:pStyle w:val="ad"/>
        <w:numPr>
          <w:ilvl w:val="0"/>
          <w:numId w:val="6"/>
        </w:numPr>
        <w:tabs>
          <w:tab w:val="left" w:pos="360"/>
        </w:tabs>
        <w:ind w:left="360"/>
        <w:jc w:val="both"/>
        <w:rPr>
          <w:lang w:val="en-GB"/>
        </w:rPr>
      </w:pPr>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t>[2]</w:t>
      </w:r>
      <w:r>
        <w:rPr>
          <w:lang w:val="en-GB"/>
        </w:rPr>
        <w:fldChar w:fldCharType="end"/>
      </w:r>
      <w:r>
        <w:rPr>
          <w:lang w:val="en-GB"/>
        </w:rPr>
        <w:t xml:space="preserve"> that aims to capture the RAN2 UE capability related agreements shown above.</w:t>
      </w:r>
    </w:p>
    <w:tbl>
      <w:tblPr>
        <w:tblStyle w:val="af"/>
        <w:tblW w:w="0" w:type="auto"/>
        <w:tblLook w:val="04A0" w:firstRow="1" w:lastRow="0" w:firstColumn="1" w:lastColumn="0" w:noHBand="0" w:noVBand="1"/>
      </w:tblPr>
      <w:tblGrid>
        <w:gridCol w:w="1705"/>
        <w:gridCol w:w="7645"/>
      </w:tblGrid>
      <w:tr w:rsidR="004234EA" w:rsidRPr="0019439F" w14:paraId="4E926F16" w14:textId="77777777" w:rsidTr="00A048C9">
        <w:tc>
          <w:tcPr>
            <w:tcW w:w="1705" w:type="dxa"/>
            <w:shd w:val="clear" w:color="auto" w:fill="A2D79B" w:themeFill="background1" w:themeFillShade="D9"/>
          </w:tcPr>
          <w:p w14:paraId="44617423" w14:textId="77777777" w:rsidR="004234EA" w:rsidRPr="0019439F" w:rsidRDefault="004234EA" w:rsidP="00A048C9">
            <w:pPr>
              <w:spacing w:after="0"/>
              <w:jc w:val="both"/>
              <w:rPr>
                <w:b/>
                <w:bCs/>
                <w:lang w:val="en-GB"/>
              </w:rPr>
            </w:pPr>
            <w:r w:rsidRPr="0019439F">
              <w:rPr>
                <w:b/>
                <w:bCs/>
                <w:lang w:val="en-GB"/>
              </w:rPr>
              <w:t>Company’s name</w:t>
            </w:r>
          </w:p>
        </w:tc>
        <w:tc>
          <w:tcPr>
            <w:tcW w:w="7645" w:type="dxa"/>
            <w:shd w:val="clear" w:color="auto" w:fill="A2D79B" w:themeFill="background1" w:themeFillShade="D9"/>
          </w:tcPr>
          <w:p w14:paraId="69B136DB" w14:textId="77777777" w:rsidR="004234EA" w:rsidRPr="0019439F" w:rsidRDefault="004234EA" w:rsidP="00A048C9">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A048C9">
        <w:tc>
          <w:tcPr>
            <w:tcW w:w="1705" w:type="dxa"/>
          </w:tcPr>
          <w:p w14:paraId="62BC7EAC" w14:textId="77777777" w:rsidR="004234EA" w:rsidRDefault="004234EA" w:rsidP="00A048C9">
            <w:pPr>
              <w:spacing w:after="0"/>
              <w:jc w:val="both"/>
              <w:rPr>
                <w:lang w:val="en-GB" w:eastAsia="zh-CN"/>
              </w:rPr>
            </w:pPr>
          </w:p>
        </w:tc>
        <w:tc>
          <w:tcPr>
            <w:tcW w:w="7645" w:type="dxa"/>
          </w:tcPr>
          <w:p w14:paraId="74548AF6" w14:textId="77777777" w:rsidR="004234EA" w:rsidRDefault="004234EA" w:rsidP="00A048C9">
            <w:pPr>
              <w:spacing w:after="0"/>
              <w:jc w:val="both"/>
              <w:rPr>
                <w:lang w:val="en-GB" w:eastAsia="zh-CN"/>
              </w:rPr>
            </w:pPr>
          </w:p>
        </w:tc>
      </w:tr>
      <w:tr w:rsidR="004234EA" w14:paraId="61C90ACA" w14:textId="77777777" w:rsidTr="00A048C9">
        <w:tc>
          <w:tcPr>
            <w:tcW w:w="1705" w:type="dxa"/>
          </w:tcPr>
          <w:p w14:paraId="17116FA7" w14:textId="77777777" w:rsidR="004234EA" w:rsidRDefault="004234EA" w:rsidP="00A048C9">
            <w:pPr>
              <w:spacing w:after="0"/>
              <w:jc w:val="both"/>
              <w:rPr>
                <w:lang w:val="en-GB" w:eastAsia="zh-CN"/>
              </w:rPr>
            </w:pPr>
          </w:p>
        </w:tc>
        <w:tc>
          <w:tcPr>
            <w:tcW w:w="7645" w:type="dxa"/>
          </w:tcPr>
          <w:p w14:paraId="12F5263F" w14:textId="77777777" w:rsidR="004234EA" w:rsidRPr="006B5FC3" w:rsidRDefault="004234EA" w:rsidP="00A048C9">
            <w:pPr>
              <w:spacing w:after="0"/>
              <w:jc w:val="both"/>
              <w:rPr>
                <w:lang w:val="en-GB" w:eastAsia="zh-CN"/>
              </w:rPr>
            </w:pPr>
          </w:p>
        </w:tc>
      </w:tr>
      <w:tr w:rsidR="004234EA" w14:paraId="0E47C199" w14:textId="77777777" w:rsidTr="00A048C9">
        <w:tc>
          <w:tcPr>
            <w:tcW w:w="1705" w:type="dxa"/>
          </w:tcPr>
          <w:p w14:paraId="78AFC14B" w14:textId="77777777" w:rsidR="004234EA" w:rsidRDefault="004234EA" w:rsidP="00A048C9">
            <w:pPr>
              <w:spacing w:after="0"/>
              <w:jc w:val="both"/>
              <w:rPr>
                <w:lang w:val="en-GB" w:eastAsia="zh-CN"/>
              </w:rPr>
            </w:pPr>
          </w:p>
        </w:tc>
        <w:tc>
          <w:tcPr>
            <w:tcW w:w="7645" w:type="dxa"/>
          </w:tcPr>
          <w:p w14:paraId="09975941" w14:textId="77777777" w:rsidR="004234EA" w:rsidRDefault="004234EA" w:rsidP="00A048C9">
            <w:pPr>
              <w:spacing w:after="0"/>
              <w:rPr>
                <w:lang w:val="en-GB" w:eastAsia="zh-CN"/>
              </w:rPr>
            </w:pPr>
          </w:p>
        </w:tc>
      </w:tr>
    </w:tbl>
    <w:p w14:paraId="71DAB9C9" w14:textId="77777777" w:rsidR="004234EA" w:rsidRDefault="004234EA" w:rsidP="004234EA">
      <w:pPr>
        <w:jc w:val="both"/>
        <w:rPr>
          <w:lang w:val="en-GB"/>
        </w:rPr>
      </w:pPr>
    </w:p>
    <w:p w14:paraId="1471FA34" w14:textId="4573D01A" w:rsidR="00404808" w:rsidRDefault="00404808" w:rsidP="00404808">
      <w:pPr>
        <w:pStyle w:val="2"/>
      </w:pPr>
      <w:bookmarkStart w:id="6" w:name="_Ref39668183"/>
      <w:r>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6"/>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ad"/>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ad"/>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ad"/>
        <w:numPr>
          <w:ilvl w:val="0"/>
          <w:numId w:val="33"/>
        </w:numPr>
        <w:rPr>
          <w:i/>
          <w:iCs/>
          <w:lang w:val="en-GB"/>
        </w:rPr>
      </w:pPr>
      <w:r w:rsidRPr="0003437A">
        <w:rPr>
          <w:i/>
          <w:iCs/>
          <w:lang w:val="en-GB"/>
        </w:rPr>
        <w:t>In (NG)EN-DC, SCG specific UAI for power saving can be configured by the network via SRB1 (using nr-SecondaryCellGroupConfig) or SRB3 (using RRCReconfiguration).</w:t>
      </w:r>
    </w:p>
    <w:p w14:paraId="5972C7E8" w14:textId="016EBEC5" w:rsidR="0003437A" w:rsidRPr="0003437A" w:rsidRDefault="0003437A" w:rsidP="0003437A">
      <w:pPr>
        <w:pStyle w:val="ad"/>
        <w:numPr>
          <w:ilvl w:val="0"/>
          <w:numId w:val="33"/>
        </w:numPr>
        <w:rPr>
          <w:i/>
          <w:iCs/>
          <w:lang w:val="en-GB"/>
        </w:rPr>
      </w:pPr>
      <w:r w:rsidRPr="0003437A">
        <w:rPr>
          <w:i/>
          <w:iCs/>
          <w:lang w:val="en-GB"/>
        </w:rPr>
        <w:t xml:space="preserve">In (NG)EN-DC, SCG specific UAI for power saving is transmitted in ULInformationTransferMRDC on the LTE leg. </w:t>
      </w:r>
    </w:p>
    <w:p w14:paraId="236BE800" w14:textId="5F0F1D75" w:rsidR="0003437A" w:rsidRPr="0003437A" w:rsidRDefault="0003437A" w:rsidP="0003437A">
      <w:pPr>
        <w:pStyle w:val="ad"/>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ad"/>
        <w:numPr>
          <w:ilvl w:val="0"/>
          <w:numId w:val="33"/>
        </w:numPr>
        <w:rPr>
          <w:i/>
          <w:iCs/>
          <w:lang w:val="en-GB"/>
        </w:rPr>
      </w:pPr>
      <w:r w:rsidRPr="0003437A">
        <w:rPr>
          <w:i/>
          <w:iCs/>
          <w:lang w:val="en-GB"/>
        </w:rPr>
        <w:t>In NR-DC, SCG specific UAI for power saving can be configured by the network via SRB1 (using mrdc-SecondaryCellGroup) or SRB3 (using RRCReconfiguration).</w:t>
      </w:r>
    </w:p>
    <w:p w14:paraId="63AB44DA" w14:textId="7A9050FB" w:rsidR="0003437A" w:rsidRPr="0003437A" w:rsidRDefault="0003437A" w:rsidP="0003437A">
      <w:pPr>
        <w:pStyle w:val="ad"/>
        <w:numPr>
          <w:ilvl w:val="0"/>
          <w:numId w:val="33"/>
        </w:numPr>
        <w:rPr>
          <w:i/>
          <w:iCs/>
          <w:lang w:val="en-GB"/>
        </w:rPr>
      </w:pPr>
      <w:r>
        <w:rPr>
          <w:i/>
          <w:iCs/>
          <w:lang w:val="en-GB"/>
        </w:rPr>
        <w:t>I</w:t>
      </w:r>
      <w:r w:rsidRPr="0003437A">
        <w:rPr>
          <w:i/>
          <w:iCs/>
          <w:lang w:val="en-GB"/>
        </w:rPr>
        <w:t xml:space="preserve">n NR-DC, SCG specific UAI for power saving is transmitted in ULInformationTransferMRDC on SRB1. </w:t>
      </w:r>
    </w:p>
    <w:p w14:paraId="3C7D4E51" w14:textId="084F06AD" w:rsidR="0003437A" w:rsidRPr="0003437A" w:rsidRDefault="0003437A" w:rsidP="0003437A">
      <w:pPr>
        <w:pStyle w:val="ad"/>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r w:rsidR="00C037FF" w:rsidRPr="00FB21AC">
        <w:rPr>
          <w:i/>
          <w:iCs/>
          <w:lang w:val="en-GB" w:eastAsia="x-none"/>
        </w:rPr>
        <w:t xml:space="preserve">drx-Preference, maxBW-Preference, maxCC-Preference, maxMIMO-Preference, </w:t>
      </w:r>
      <w:r w:rsidR="00C037FF" w:rsidRPr="00FB21AC">
        <w:rPr>
          <w:lang w:val="en-GB" w:eastAsia="x-none"/>
        </w:rPr>
        <w:t>and</w:t>
      </w:r>
      <w:r w:rsidR="00C037FF" w:rsidRPr="00FB21AC">
        <w:rPr>
          <w:i/>
          <w:iCs/>
          <w:lang w:val="en-GB" w:eastAsia="x-none"/>
        </w:rPr>
        <w:t xml:space="preserve"> releasePreference</w:t>
      </w:r>
      <w:r w:rsidR="00C037FF">
        <w:rPr>
          <w:i/>
          <w:iCs/>
          <w:lang w:val="en-GB" w:eastAsia="x-none"/>
        </w:rPr>
        <w:t xml:space="preserve"> </w:t>
      </w:r>
      <w:r w:rsidR="00C037FF">
        <w:rPr>
          <w:lang w:val="en-GB" w:eastAsia="x-none"/>
        </w:rPr>
        <w:t>are associated to a</w:t>
      </w:r>
      <w:r w:rsidR="00992073">
        <w:rPr>
          <w:lang w:val="en-GB" w:eastAsia="x-none"/>
        </w:rPr>
        <w:t>n</w:t>
      </w:r>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r w:rsidR="00C037FF">
        <w:rPr>
          <w:lang w:eastAsia="x-none"/>
        </w:rPr>
        <w:t>Therefore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7" w:name="_Hlk39668283"/>
      <w:r w:rsidRPr="00C037FF">
        <w:rPr>
          <w:b/>
          <w:bCs/>
          <w:i/>
          <w:iCs/>
        </w:rPr>
        <w:t>(NG)EN-DC and NR-DC</w:t>
      </w:r>
      <w:bookmarkEnd w:id="7"/>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S-K</w:t>
      </w:r>
      <w:r w:rsidRPr="00C037FF">
        <w:rPr>
          <w:i/>
          <w:iCs/>
          <w:vertAlign w:val="subscript"/>
        </w:rPr>
        <w:t>gNB</w:t>
      </w:r>
      <w:r w:rsidRPr="00C037FF">
        <w:rPr>
          <w:i/>
          <w:iCs/>
        </w:rPr>
        <w:t xml:space="preserve"> or SRB3, and to reconfigure SDAP for DRBs associated with S-K</w:t>
      </w:r>
      <w:r w:rsidRPr="00C037FF">
        <w:rPr>
          <w:i/>
          <w:iCs/>
          <w:vertAlign w:val="subscript"/>
        </w:rPr>
        <w:t>gNB</w:t>
      </w:r>
      <w:r w:rsidRPr="00C037FF">
        <w:rPr>
          <w:i/>
          <w:iCs/>
        </w:rPr>
        <w:t xml:space="preserve"> in NGEN-DC and NR-DC, and to add/modify/release conditional PSCell change configuration, provided that the (re-)configuration does not require any MN involvement. </w:t>
      </w:r>
      <w:r w:rsidRPr="00C037FF">
        <w:rPr>
          <w:b/>
          <w:bCs/>
          <w:i/>
          <w:iCs/>
        </w:rPr>
        <w:t>In (NG)EN-DC and NR-DC</w:t>
      </w:r>
      <w:r w:rsidRPr="00C037FF">
        <w:rPr>
          <w:i/>
          <w:iCs/>
        </w:rPr>
        <w:t>, only measConfig, radioBearerConfig</w:t>
      </w:r>
      <w:r w:rsidRPr="00C037FF">
        <w:rPr>
          <w:i/>
          <w:iCs/>
          <w:lang w:eastAsia="zh-CN"/>
        </w:rPr>
        <w:t xml:space="preserve">, conditionalReconfiguration, </w:t>
      </w:r>
      <w:r w:rsidRPr="00C037FF">
        <w:rPr>
          <w:b/>
          <w:bCs/>
          <w:i/>
          <w:iCs/>
          <w:lang w:eastAsia="zh-CN"/>
        </w:rPr>
        <w:t>otherConfig</w:t>
      </w:r>
      <w:r w:rsidRPr="00C037FF">
        <w:rPr>
          <w:b/>
          <w:bCs/>
          <w:i/>
          <w:iCs/>
        </w:rPr>
        <w:t xml:space="preserve"> </w:t>
      </w:r>
      <w:r w:rsidRPr="00C037FF">
        <w:rPr>
          <w:i/>
          <w:iCs/>
        </w:rPr>
        <w:t>and/or secondaryCellGroup are included in RRCReconfiguration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E-UTRA MCG embedded in E-UTRA RRC message ULInformationTransferMRDC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r w:rsidRPr="008E1A79">
        <w:rPr>
          <w:i/>
          <w:iCs/>
          <w:lang w:eastAsia="zh-CN"/>
        </w:rPr>
        <w:t xml:space="preserve">UEAssistanceInformation </w:t>
      </w:r>
      <w:r w:rsidRPr="008E1A79">
        <w:rPr>
          <w:i/>
          <w:iCs/>
        </w:rPr>
        <w:t xml:space="preserve">message </w:t>
      </w:r>
      <w:r w:rsidRPr="00C037FF">
        <w:rPr>
          <w:b/>
          <w:bCs/>
          <w:i/>
          <w:iCs/>
        </w:rPr>
        <w:t>via the NR MCG embedded in NR RRC message ULInformationTransferMRDC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lastRenderedPageBreak/>
        <w:t>3&gt;</w:t>
      </w:r>
      <w:r w:rsidRPr="008E1A79">
        <w:rPr>
          <w:i/>
          <w:iCs/>
        </w:rPr>
        <w:tab/>
        <w:t xml:space="preserve">submit the </w:t>
      </w:r>
      <w:r w:rsidRPr="008E1A79">
        <w:rPr>
          <w:i/>
          <w:iCs/>
          <w:lang w:eastAsia="zh-CN"/>
        </w:rPr>
        <w:t xml:space="preserve">UEAssistanceInformation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2&gt; submit the UEAssistanceInformation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3"/>
      </w:pPr>
      <w:r>
        <w:t xml:space="preserve">Discussion point </w:t>
      </w:r>
      <w:r w:rsidR="001A3ABD">
        <w:t>5</w:t>
      </w:r>
    </w:p>
    <w:p w14:paraId="37551420" w14:textId="3D0F1C35" w:rsidR="00814EB1" w:rsidRPr="008E1A79" w:rsidRDefault="008E1A79" w:rsidP="008E1A79">
      <w:pPr>
        <w:pStyle w:val="ad"/>
        <w:numPr>
          <w:ilvl w:val="0"/>
          <w:numId w:val="6"/>
        </w:numPr>
        <w:tabs>
          <w:tab w:val="left" w:pos="360"/>
        </w:tabs>
        <w:spacing w:after="120"/>
        <w:ind w:left="360"/>
        <w:jc w:val="both"/>
        <w:rPr>
          <w:lang w:val="en-GB"/>
        </w:rPr>
      </w:pPr>
      <w:r>
        <w:rPr>
          <w:lang w:val="en-GB"/>
        </w:rPr>
        <w:t xml:space="preserve">Should </w:t>
      </w:r>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r w:rsidR="00603FC4" w:rsidRPr="00FB21AC">
        <w:rPr>
          <w:i/>
          <w:iCs/>
          <w:lang w:val="en-GB" w:eastAsia="x-none"/>
        </w:rPr>
        <w:t xml:space="preserve">drx-Preference, maxBW-Preference, maxCC-Preference, maxMIMO-Preference, </w:t>
      </w:r>
      <w:r w:rsidR="00603FC4" w:rsidRPr="00FB21AC">
        <w:rPr>
          <w:lang w:val="en-GB" w:eastAsia="x-none"/>
        </w:rPr>
        <w:t>and</w:t>
      </w:r>
      <w:r w:rsidR="00603FC4" w:rsidRPr="00FB21AC">
        <w:rPr>
          <w:i/>
          <w:iCs/>
          <w:lang w:val="en-GB" w:eastAsia="x-none"/>
        </w:rPr>
        <w:t xml:space="preserve"> releasePreference</w:t>
      </w:r>
      <w:r w:rsidR="00603FC4">
        <w:rPr>
          <w:lang w:val="en-GB"/>
        </w:rPr>
        <w:t xml:space="preserve">) </w:t>
      </w:r>
      <w:r>
        <w:rPr>
          <w:lang w:val="en-GB"/>
        </w:rPr>
        <w:t xml:space="preserve">to an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r>
        <w:rPr>
          <w:lang w:val="en-GB"/>
        </w:rPr>
        <w:t>?</w:t>
      </w:r>
    </w:p>
    <w:p w14:paraId="45A9CB7C" w14:textId="5CBE2FC9" w:rsidR="00D65042" w:rsidRDefault="00D65042" w:rsidP="00404808">
      <w:pPr>
        <w:pStyle w:val="ad"/>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ad"/>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af"/>
        <w:tblW w:w="0" w:type="auto"/>
        <w:tblLook w:val="04A0" w:firstRow="1" w:lastRow="0" w:firstColumn="1" w:lastColumn="0" w:noHBand="0" w:noVBand="1"/>
      </w:tblPr>
      <w:tblGrid>
        <w:gridCol w:w="1795"/>
        <w:gridCol w:w="1080"/>
        <w:gridCol w:w="6475"/>
      </w:tblGrid>
      <w:tr w:rsidR="00404808" w:rsidRPr="0019439F" w14:paraId="3F8CAFF6" w14:textId="77777777" w:rsidTr="00A048C9">
        <w:tc>
          <w:tcPr>
            <w:tcW w:w="1795" w:type="dxa"/>
            <w:shd w:val="clear" w:color="auto" w:fill="A2D79B" w:themeFill="background1" w:themeFillShade="D9"/>
          </w:tcPr>
          <w:p w14:paraId="6F207DFA" w14:textId="77777777" w:rsidR="00404808" w:rsidRPr="00951001" w:rsidRDefault="00404808" w:rsidP="00A048C9">
            <w:pPr>
              <w:spacing w:after="0"/>
              <w:jc w:val="both"/>
              <w:rPr>
                <w:b/>
                <w:bCs/>
                <w:lang w:val="en-GB"/>
              </w:rPr>
            </w:pPr>
            <w:r w:rsidRPr="00951001">
              <w:rPr>
                <w:b/>
                <w:bCs/>
                <w:lang w:val="en-GB"/>
              </w:rPr>
              <w:t>Company’s name</w:t>
            </w:r>
          </w:p>
        </w:tc>
        <w:tc>
          <w:tcPr>
            <w:tcW w:w="1080" w:type="dxa"/>
            <w:shd w:val="clear" w:color="auto" w:fill="A2D79B" w:themeFill="background1" w:themeFillShade="D9"/>
          </w:tcPr>
          <w:p w14:paraId="4C8DC5B9" w14:textId="77777777" w:rsidR="00404808" w:rsidRPr="00951001" w:rsidRDefault="00404808" w:rsidP="00A048C9">
            <w:pPr>
              <w:spacing w:after="0"/>
              <w:jc w:val="both"/>
              <w:rPr>
                <w:b/>
                <w:bCs/>
                <w:lang w:val="en-GB"/>
              </w:rPr>
            </w:pPr>
            <w:r w:rsidRPr="00951001">
              <w:rPr>
                <w:b/>
                <w:bCs/>
                <w:lang w:val="en-GB"/>
              </w:rPr>
              <w:t>Option</w:t>
            </w:r>
          </w:p>
        </w:tc>
        <w:tc>
          <w:tcPr>
            <w:tcW w:w="6475" w:type="dxa"/>
            <w:shd w:val="clear" w:color="auto" w:fill="A2D79B" w:themeFill="background1" w:themeFillShade="D9"/>
          </w:tcPr>
          <w:p w14:paraId="75E7253E" w14:textId="77777777" w:rsidR="00404808" w:rsidRPr="00BB6989" w:rsidRDefault="00404808" w:rsidP="00A048C9">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A048C9">
        <w:tc>
          <w:tcPr>
            <w:tcW w:w="1795" w:type="dxa"/>
          </w:tcPr>
          <w:p w14:paraId="134754B3" w14:textId="417BE044" w:rsidR="00404808" w:rsidRPr="00BB6989" w:rsidRDefault="0010502B" w:rsidP="00A048C9">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A048C9">
            <w:pPr>
              <w:spacing w:after="0"/>
              <w:jc w:val="both"/>
              <w:rPr>
                <w:lang w:val="en-GB" w:eastAsia="zh-CN"/>
              </w:rPr>
            </w:pPr>
            <w:r>
              <w:rPr>
                <w:lang w:val="en-GB" w:eastAsia="zh-CN"/>
              </w:rPr>
              <w:t>No</w:t>
            </w:r>
          </w:p>
        </w:tc>
        <w:tc>
          <w:tcPr>
            <w:tcW w:w="6475" w:type="dxa"/>
          </w:tcPr>
          <w:p w14:paraId="4FA3DA2E" w14:textId="04D45A4E" w:rsidR="00404808" w:rsidRPr="00BB6989" w:rsidRDefault="0010502B" w:rsidP="00A048C9">
            <w:pPr>
              <w:spacing w:after="0"/>
              <w:jc w:val="both"/>
              <w:rPr>
                <w:lang w:val="en-GB" w:eastAsia="zh-CN"/>
              </w:rPr>
            </w:pPr>
            <w:r>
              <w:rPr>
                <w:lang w:val="en-GB" w:eastAsia="zh-CN"/>
              </w:rPr>
              <w:t>We do not see essential to define different UE capabilities for each specific cell group as the minimum that the UE needs to support is the setup (or release) of the related prohibit timer when the feature is configured (or release). Understanding that later it is up to UE whether to report/trigger UAI or not.</w:t>
            </w:r>
          </w:p>
        </w:tc>
      </w:tr>
      <w:tr w:rsidR="002C6888" w:rsidRPr="00434FBF" w14:paraId="12C22FFE" w14:textId="77777777" w:rsidTr="00A048C9">
        <w:tc>
          <w:tcPr>
            <w:tcW w:w="1795" w:type="dxa"/>
          </w:tcPr>
          <w:p w14:paraId="0578FEA1" w14:textId="27C366C9" w:rsidR="002C6888" w:rsidRPr="00EA0E57" w:rsidRDefault="002C6888" w:rsidP="002C6888">
            <w:pPr>
              <w:spacing w:after="0"/>
              <w:jc w:val="both"/>
              <w:rPr>
                <w:lang w:val="en-GB" w:eastAsia="zh-CN"/>
              </w:rPr>
            </w:pPr>
            <w:bookmarkStart w:id="8" w:name="_GoBack" w:colFirst="0" w:colLast="2"/>
            <w:r>
              <w:rPr>
                <w:rFonts w:hint="eastAsia"/>
                <w:lang w:val="en-GB" w:eastAsia="zh-CN"/>
              </w:rPr>
              <w:t>O</w:t>
            </w:r>
            <w:r>
              <w:rPr>
                <w:lang w:val="en-GB" w:eastAsia="zh-CN"/>
              </w:rPr>
              <w:t>PPO</w:t>
            </w:r>
          </w:p>
        </w:tc>
        <w:tc>
          <w:tcPr>
            <w:tcW w:w="1080" w:type="dxa"/>
          </w:tcPr>
          <w:p w14:paraId="0DCD2AFA" w14:textId="0E4AFC12" w:rsidR="002C6888" w:rsidRPr="00EA0E57" w:rsidRDefault="002C6888" w:rsidP="002C6888">
            <w:pPr>
              <w:spacing w:after="0"/>
              <w:jc w:val="both"/>
              <w:rPr>
                <w:lang w:val="en-GB" w:eastAsia="zh-CN"/>
              </w:rPr>
            </w:pPr>
            <w:r>
              <w:rPr>
                <w:rFonts w:hint="eastAsia"/>
                <w:lang w:val="en-GB" w:eastAsia="zh-CN"/>
              </w:rPr>
              <w:t>No</w:t>
            </w:r>
          </w:p>
        </w:tc>
        <w:tc>
          <w:tcPr>
            <w:tcW w:w="6475" w:type="dxa"/>
          </w:tcPr>
          <w:p w14:paraId="12F66D0C" w14:textId="6DB50A37" w:rsidR="002C6888" w:rsidRPr="00D20D57" w:rsidRDefault="002C6888" w:rsidP="002C6888">
            <w:pPr>
              <w:spacing w:after="0"/>
              <w:jc w:val="both"/>
              <w:rPr>
                <w:lang w:val="en-GB" w:eastAsia="zh-CN"/>
              </w:rPr>
            </w:pPr>
            <w:r>
              <w:rPr>
                <w:lang w:val="en-GB"/>
              </w:rPr>
              <w:t>Since UE assistance feature for power saving purposes is introduced for NR but not supported for LTE,</w:t>
            </w:r>
            <w:r>
              <w:rPr>
                <w:lang w:val="en-GB" w:eastAsia="zh-CN"/>
              </w:rPr>
              <w:t xml:space="preserve"> a common NR UE capability could be used for SA and the </w:t>
            </w:r>
            <w:r>
              <w:rPr>
                <w:lang w:val="en-GB"/>
              </w:rPr>
              <w:t xml:space="preserve">NR CG in </w:t>
            </w:r>
            <w:r w:rsidRPr="008C7C32">
              <w:t xml:space="preserve">(NG)EN-DC </w:t>
            </w:r>
            <w:r>
              <w:t>or</w:t>
            </w:r>
            <w:r w:rsidRPr="008C7C32">
              <w:t xml:space="preserve"> NR-DC</w:t>
            </w:r>
            <w:r>
              <w:rPr>
                <w:lang w:eastAsia="zh-CN"/>
              </w:rPr>
              <w:t xml:space="preserve">. </w:t>
            </w:r>
          </w:p>
        </w:tc>
      </w:tr>
      <w:bookmarkEnd w:id="8"/>
      <w:tr w:rsidR="00404808" w:rsidRPr="00434FBF" w14:paraId="1EACA46E" w14:textId="77777777" w:rsidTr="00A048C9">
        <w:tc>
          <w:tcPr>
            <w:tcW w:w="1795" w:type="dxa"/>
          </w:tcPr>
          <w:p w14:paraId="3EB7D374" w14:textId="77777777" w:rsidR="00404808" w:rsidRPr="00EA0E57" w:rsidRDefault="00404808" w:rsidP="00A048C9">
            <w:pPr>
              <w:spacing w:after="0"/>
              <w:jc w:val="both"/>
              <w:rPr>
                <w:lang w:val="en-GB" w:eastAsia="zh-CN"/>
              </w:rPr>
            </w:pPr>
          </w:p>
        </w:tc>
        <w:tc>
          <w:tcPr>
            <w:tcW w:w="1080" w:type="dxa"/>
          </w:tcPr>
          <w:p w14:paraId="2D37DB1D" w14:textId="77777777" w:rsidR="00404808" w:rsidRPr="00EA0E57" w:rsidRDefault="00404808" w:rsidP="00A048C9">
            <w:pPr>
              <w:spacing w:after="0"/>
              <w:jc w:val="both"/>
              <w:rPr>
                <w:lang w:val="en-GB" w:eastAsia="zh-CN"/>
              </w:rPr>
            </w:pPr>
          </w:p>
        </w:tc>
        <w:tc>
          <w:tcPr>
            <w:tcW w:w="6475" w:type="dxa"/>
          </w:tcPr>
          <w:p w14:paraId="52DDB66F" w14:textId="77777777" w:rsidR="00404808" w:rsidRPr="00D20D57" w:rsidRDefault="00404808" w:rsidP="00A048C9">
            <w:pPr>
              <w:spacing w:after="0"/>
              <w:jc w:val="both"/>
              <w:rPr>
                <w:lang w:val="en-GB" w:eastAsia="zh-CN"/>
              </w:rPr>
            </w:pPr>
          </w:p>
        </w:tc>
      </w:tr>
    </w:tbl>
    <w:p w14:paraId="602CDD36" w14:textId="77777777" w:rsidR="00404808" w:rsidRDefault="00404808" w:rsidP="00404808">
      <w:pPr>
        <w:jc w:val="both"/>
        <w:rPr>
          <w:lang w:val="en-GB"/>
        </w:rPr>
      </w:pPr>
    </w:p>
    <w:p w14:paraId="50498C02" w14:textId="73094496" w:rsidR="00813FFC" w:rsidRDefault="00813FFC" w:rsidP="00813FFC">
      <w:pPr>
        <w:pStyle w:val="3"/>
      </w:pPr>
      <w:r>
        <w:t xml:space="preserve">Discussion point </w:t>
      </w:r>
      <w:r w:rsidR="001A3ABD">
        <w:t>6</w:t>
      </w:r>
    </w:p>
    <w:p w14:paraId="4E494931" w14:textId="34811B65" w:rsidR="0019439F" w:rsidRPr="0019439F" w:rsidRDefault="0019439F" w:rsidP="00BD48CB">
      <w:pPr>
        <w:pStyle w:val="ad"/>
        <w:numPr>
          <w:ilvl w:val="0"/>
          <w:numId w:val="6"/>
        </w:numPr>
        <w:tabs>
          <w:tab w:val="left" w:pos="360"/>
        </w:tabs>
        <w:ind w:left="360"/>
        <w:jc w:val="both"/>
        <w:rPr>
          <w:lang w:val="en-GB"/>
        </w:rPr>
      </w:pPr>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p>
    <w:tbl>
      <w:tblPr>
        <w:tblStyle w:val="af"/>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A2D79B"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A2D79B"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4D6A8DB3" w:rsidR="0019439F" w:rsidRDefault="0019439F" w:rsidP="009F2D5D">
            <w:pPr>
              <w:spacing w:after="0"/>
              <w:jc w:val="both"/>
              <w:rPr>
                <w:lang w:val="en-GB" w:eastAsia="zh-CN"/>
              </w:rPr>
            </w:pPr>
          </w:p>
        </w:tc>
        <w:tc>
          <w:tcPr>
            <w:tcW w:w="7645" w:type="dxa"/>
          </w:tcPr>
          <w:p w14:paraId="4DDFFE1E" w14:textId="341965FE" w:rsidR="0019439F" w:rsidRDefault="0019439F" w:rsidP="009F2D5D">
            <w:pPr>
              <w:spacing w:after="0"/>
              <w:jc w:val="both"/>
              <w:rPr>
                <w:lang w:val="en-GB" w:eastAsia="zh-CN"/>
              </w:rPr>
            </w:pPr>
          </w:p>
        </w:tc>
      </w:tr>
      <w:tr w:rsidR="00D82B65" w14:paraId="33BD5DA5" w14:textId="77777777" w:rsidTr="000F6E21">
        <w:tc>
          <w:tcPr>
            <w:tcW w:w="1705" w:type="dxa"/>
          </w:tcPr>
          <w:p w14:paraId="628FC631" w14:textId="0373B538" w:rsidR="00D82B65" w:rsidRDefault="00D82B65" w:rsidP="000F6E21">
            <w:pPr>
              <w:spacing w:after="0"/>
              <w:jc w:val="both"/>
              <w:rPr>
                <w:lang w:val="en-GB" w:eastAsia="zh-CN"/>
              </w:rPr>
            </w:pPr>
          </w:p>
        </w:tc>
        <w:tc>
          <w:tcPr>
            <w:tcW w:w="7645" w:type="dxa"/>
          </w:tcPr>
          <w:p w14:paraId="40B325C9" w14:textId="0BCAF05C" w:rsidR="0019185D" w:rsidRPr="006B5FC3" w:rsidRDefault="0019185D" w:rsidP="006B5FC3">
            <w:pPr>
              <w:spacing w:after="0"/>
              <w:jc w:val="both"/>
              <w:rPr>
                <w:lang w:val="en-GB" w:eastAsia="zh-CN"/>
              </w:rPr>
            </w:pPr>
          </w:p>
        </w:tc>
      </w:tr>
      <w:tr w:rsidR="0019439F" w14:paraId="1D2461B8" w14:textId="77777777" w:rsidTr="009F2D5D">
        <w:tc>
          <w:tcPr>
            <w:tcW w:w="1705" w:type="dxa"/>
          </w:tcPr>
          <w:p w14:paraId="07639BED" w14:textId="406F0553" w:rsidR="0019439F" w:rsidRDefault="0019439F" w:rsidP="009F2D5D">
            <w:pPr>
              <w:spacing w:after="0"/>
              <w:jc w:val="both"/>
              <w:rPr>
                <w:lang w:val="en-GB" w:eastAsia="zh-CN"/>
              </w:rPr>
            </w:pPr>
          </w:p>
        </w:tc>
        <w:tc>
          <w:tcPr>
            <w:tcW w:w="7645" w:type="dxa"/>
          </w:tcPr>
          <w:p w14:paraId="13617724" w14:textId="08FBD6E0" w:rsidR="0019439F" w:rsidRDefault="0019439F" w:rsidP="00B55498">
            <w:pPr>
              <w:spacing w:after="0"/>
              <w:rPr>
                <w:lang w:val="en-GB" w:eastAsia="zh-CN"/>
              </w:rPr>
            </w:pPr>
          </w:p>
        </w:tc>
      </w:tr>
    </w:tbl>
    <w:p w14:paraId="546D9212" w14:textId="77777777" w:rsidR="00D82B65" w:rsidRPr="00D82B65" w:rsidRDefault="00D82B65" w:rsidP="0019439F">
      <w:pPr>
        <w:jc w:val="both"/>
      </w:pPr>
    </w:p>
    <w:p w14:paraId="6500B00B" w14:textId="1EF9A639" w:rsidR="007B70A3" w:rsidRDefault="00A4002D" w:rsidP="007B70A3">
      <w:pPr>
        <w:pStyle w:val="1"/>
        <w:numPr>
          <w:ilvl w:val="0"/>
          <w:numId w:val="2"/>
        </w:numPr>
      </w:pPr>
      <w:r>
        <w:t>Report s</w:t>
      </w:r>
      <w:r w:rsidR="007B70A3">
        <w:t>ummary</w:t>
      </w:r>
    </w:p>
    <w:p w14:paraId="73457C84" w14:textId="49E3155D" w:rsidR="006B5FC3" w:rsidRDefault="006B5FC3" w:rsidP="005656D3">
      <w:pPr>
        <w:jc w:val="both"/>
        <w:rPr>
          <w:i/>
          <w:iCs/>
        </w:rPr>
      </w:pPr>
      <w:r w:rsidRPr="007B70A3">
        <w:rPr>
          <w:i/>
          <w:iCs/>
        </w:rPr>
        <w:t>&lt;If needed, to be updated when doing the summary&gt;</w:t>
      </w:r>
    </w:p>
    <w:p w14:paraId="27B77052" w14:textId="77777777" w:rsidR="006B5FC3" w:rsidRPr="006B5FC3" w:rsidRDefault="006B5FC3" w:rsidP="005656D3">
      <w:pPr>
        <w:jc w:val="both"/>
      </w:pPr>
    </w:p>
    <w:p w14:paraId="52A85A79" w14:textId="7C43A5B1" w:rsidR="004D60A7" w:rsidRPr="00A4002D" w:rsidRDefault="006B5FC3" w:rsidP="00BD48CB">
      <w:pPr>
        <w:pStyle w:val="Proposal"/>
        <w:numPr>
          <w:ilvl w:val="0"/>
          <w:numId w:val="3"/>
        </w:numPr>
      </w:pPr>
      <w:bookmarkStart w:id="9" w:name="_Toc36848891"/>
      <w:bookmarkStart w:id="10" w:name="_Toc37014343"/>
      <w:bookmarkStart w:id="11" w:name="_Toc37275048"/>
      <w:bookmarkStart w:id="12" w:name="_Toc37314924"/>
      <w:bookmarkStart w:id="13" w:name="_Toc37342440"/>
      <w:bookmarkStart w:id="14" w:name="_Toc37351571"/>
      <w:bookmarkStart w:id="15" w:name="_Toc37351585"/>
      <w:bookmarkStart w:id="16" w:name="_Toc37351677"/>
      <w:bookmarkStart w:id="17" w:name="_Toc37351703"/>
      <w:bookmarkStart w:id="18" w:name="_Toc39657844"/>
      <w:r w:rsidRPr="007B70A3">
        <w:rPr>
          <w:i/>
          <w:iCs/>
        </w:rPr>
        <w:t>&lt;If needed, to be updated when doing the summary&gt;</w:t>
      </w:r>
      <w:r w:rsidR="005C4C2B">
        <w:t>.</w:t>
      </w:r>
      <w:bookmarkEnd w:id="9"/>
      <w:bookmarkEnd w:id="10"/>
      <w:bookmarkEnd w:id="11"/>
      <w:bookmarkEnd w:id="12"/>
      <w:bookmarkEnd w:id="13"/>
      <w:bookmarkEnd w:id="14"/>
      <w:bookmarkEnd w:id="15"/>
      <w:bookmarkEnd w:id="16"/>
      <w:bookmarkEnd w:id="17"/>
      <w:bookmarkEnd w:id="18"/>
    </w:p>
    <w:p w14:paraId="1FA3C2C7" w14:textId="77777777" w:rsidR="004D60A7" w:rsidRPr="004D60A7" w:rsidRDefault="004D60A7" w:rsidP="004D60A7">
      <w:pPr>
        <w:rPr>
          <w:lang w:val="en-GB" w:eastAsia="x-none"/>
        </w:rPr>
      </w:pPr>
    </w:p>
    <w:p w14:paraId="754934BF" w14:textId="77777777" w:rsidR="0026323C" w:rsidRPr="0026323C" w:rsidRDefault="0026323C" w:rsidP="00A4002D">
      <w:pPr>
        <w:jc w:val="both"/>
        <w:rPr>
          <w:lang w:val="en-GB"/>
        </w:rPr>
      </w:pPr>
    </w:p>
    <w:p w14:paraId="3C0D31F2" w14:textId="77777777" w:rsidR="00EB410E" w:rsidRPr="00083BE4" w:rsidRDefault="00EB410E" w:rsidP="00EB410E">
      <w:pPr>
        <w:jc w:val="both"/>
        <w:rPr>
          <w:lang w:val="en-GB"/>
        </w:rPr>
      </w:pPr>
    </w:p>
    <w:p w14:paraId="6141E68E" w14:textId="77777777" w:rsidR="00EB410E" w:rsidRDefault="00EB410E" w:rsidP="00EB410E">
      <w:pPr>
        <w:pStyle w:val="1"/>
        <w:numPr>
          <w:ilvl w:val="0"/>
          <w:numId w:val="2"/>
        </w:numPr>
      </w:pPr>
      <w:r>
        <w:t>Conclusion</w:t>
      </w:r>
    </w:p>
    <w:p w14:paraId="0FBABC72" w14:textId="4B54E1B8"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03CEEAFC" w14:textId="77777777" w:rsidR="006B5FC3" w:rsidRDefault="00EB410E">
      <w:pPr>
        <w:pStyle w:val="1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006B5FC3" w:rsidRPr="009674B7">
        <w:rPr>
          <w:b/>
          <w:noProof/>
        </w:rPr>
        <w:t>Proposal 1.</w:t>
      </w:r>
      <w:r w:rsidR="006B5FC3">
        <w:rPr>
          <w:rFonts w:asciiTheme="minorHAnsi" w:eastAsiaTheme="minorEastAsia" w:hAnsiTheme="minorHAnsi" w:cstheme="minorBidi"/>
          <w:noProof/>
          <w:sz w:val="22"/>
        </w:rPr>
        <w:tab/>
      </w:r>
      <w:r w:rsidR="006B5FC3" w:rsidRPr="009674B7">
        <w:rPr>
          <w:i/>
          <w:iCs/>
          <w:noProof/>
        </w:rPr>
        <w:t>&lt;If needed, to be updated when doing the summary&gt;</w:t>
      </w:r>
      <w:r w:rsidR="006B5FC3">
        <w:rPr>
          <w:noProof/>
        </w:rPr>
        <w:t>.</w:t>
      </w:r>
    </w:p>
    <w:p w14:paraId="16A6D24B" w14:textId="1C690419" w:rsidR="00EB410E" w:rsidRDefault="00EB410E" w:rsidP="00EB410E">
      <w:pPr>
        <w:jc w:val="both"/>
        <w:rPr>
          <w:lang w:eastAsia="zh-CN"/>
        </w:rPr>
      </w:pPr>
      <w:r>
        <w:rPr>
          <w:lang w:eastAsia="zh-CN"/>
        </w:rPr>
        <w:lastRenderedPageBreak/>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1"/>
        <w:numPr>
          <w:ilvl w:val="0"/>
          <w:numId w:val="2"/>
        </w:numPr>
      </w:pPr>
      <w:r>
        <w:t>References</w:t>
      </w:r>
    </w:p>
    <w:p w14:paraId="560BF334" w14:textId="63D71210" w:rsidR="00B1781D" w:rsidRDefault="00B1781D" w:rsidP="00B1781D">
      <w:pPr>
        <w:pStyle w:val="ad"/>
        <w:numPr>
          <w:ilvl w:val="0"/>
          <w:numId w:val="5"/>
        </w:numPr>
        <w:jc w:val="both"/>
        <w:rPr>
          <w:lang w:eastAsia="zh-CN"/>
        </w:rPr>
      </w:pPr>
      <w:bookmarkStart w:id="19" w:name="_Ref33708774"/>
      <w:bookmarkStart w:id="20"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draftCR, category </w:t>
      </w:r>
      <w:r w:rsidRPr="007B70A3">
        <w:rPr>
          <w:lang w:eastAsia="zh-CN"/>
        </w:rPr>
        <w:t>B</w:t>
      </w:r>
      <w:r>
        <w:rPr>
          <w:lang w:eastAsia="zh-CN"/>
        </w:rPr>
        <w:t xml:space="preserve">, </w:t>
      </w:r>
      <w:r w:rsidRPr="00B1781D">
        <w:rPr>
          <w:lang w:eastAsia="zh-CN"/>
        </w:rPr>
        <w:t>NR_UE_pow_sav</w:t>
      </w:r>
      <w:r>
        <w:rPr>
          <w:lang w:eastAsia="zh-CN"/>
        </w:rPr>
        <w:t>.</w:t>
      </w:r>
    </w:p>
    <w:p w14:paraId="5E2C809B" w14:textId="5520DFBE" w:rsidR="007B70A3" w:rsidRDefault="00D65042" w:rsidP="00B1781D">
      <w:pPr>
        <w:pStyle w:val="ad"/>
        <w:numPr>
          <w:ilvl w:val="0"/>
          <w:numId w:val="5"/>
        </w:numPr>
        <w:jc w:val="both"/>
        <w:rPr>
          <w:lang w:eastAsia="zh-CN"/>
        </w:rPr>
      </w:pPr>
      <w:bookmarkStart w:id="21"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draftCR, category </w:t>
      </w:r>
      <w:r w:rsidR="00B1781D" w:rsidRPr="007B70A3">
        <w:rPr>
          <w:lang w:eastAsia="zh-CN"/>
        </w:rPr>
        <w:t>B</w:t>
      </w:r>
      <w:r w:rsidR="00B1781D">
        <w:rPr>
          <w:lang w:eastAsia="zh-CN"/>
        </w:rPr>
        <w:t xml:space="preserve">, </w:t>
      </w:r>
      <w:r w:rsidR="00B1781D" w:rsidRPr="00B1781D">
        <w:rPr>
          <w:lang w:eastAsia="zh-CN"/>
        </w:rPr>
        <w:t>NR_UE_pow_sav</w:t>
      </w:r>
      <w:r w:rsidR="00B1781D">
        <w:rPr>
          <w:lang w:eastAsia="zh-CN"/>
        </w:rPr>
        <w:t>.</w:t>
      </w:r>
      <w:bookmarkEnd w:id="19"/>
      <w:bookmarkEnd w:id="20"/>
      <w:bookmarkEnd w:id="21"/>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1"/>
        <w:numPr>
          <w:ilvl w:val="0"/>
          <w:numId w:val="2"/>
        </w:numPr>
      </w:pPr>
      <w:bookmarkStart w:id="22" w:name="_Ref39847017"/>
      <w:r>
        <w:t>Annex A</w:t>
      </w:r>
      <w:bookmarkEnd w:id="22"/>
    </w:p>
    <w:p w14:paraId="08FEDFF0" w14:textId="58C37C90" w:rsidR="00DB3D42" w:rsidRDefault="00204A06" w:rsidP="00204A06">
      <w:pPr>
        <w:jc w:val="both"/>
        <w:rPr>
          <w:rFonts w:eastAsia="Times New Roman"/>
        </w:rPr>
      </w:pPr>
      <w:bookmarkStart w:id="23"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23"/>
      <w:r>
        <w:rPr>
          <w:lang w:eastAsia="zh-CN"/>
        </w:rPr>
        <w:t xml:space="preserve">For better understanding, </w:t>
      </w:r>
      <w:bookmarkStart w:id="24"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25" w:name="_Hlk39849677"/>
      <w:r>
        <w:rPr>
          <w:rFonts w:ascii="Courier New" w:hAnsi="Courier New" w:cs="Courier New"/>
          <w:color w:val="000000"/>
          <w:sz w:val="16"/>
          <w:szCs w:val="16"/>
          <w:lang w:eastAsia="en-GB"/>
        </w:rPr>
        <w:t>UE-NR-Capability-v1540 ::=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overheatingInd                          ENUMERATED {supported}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ims-Parameters                          IMS-Parameters                                                OPTIONAL,</w:t>
      </w:r>
    </w:p>
    <w:p w14:paraId="34885843" w14:textId="77777777" w:rsidR="00204A06" w:rsidRDefault="00204A06" w:rsidP="00204A06">
      <w:pPr>
        <w:shd w:val="clear" w:color="auto" w:fill="E6E6E6"/>
        <w:spacing w:after="0"/>
        <w:ind w:left="360"/>
        <w:rPr>
          <w:rFonts w:ascii="Courier New" w:hAnsi="Courier New" w:cs="Courier New"/>
          <w:sz w:val="16"/>
          <w:szCs w:val="16"/>
          <w:highlight w:val="cyan"/>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cyan"/>
          <w:lang w:eastAsia="en-GB"/>
        </w:rPr>
        <w:t>fr1-Add-UE-NR-Capabilities-v1540        UE-NR-CapabilityAddFRX-Mode-v1540                             OPTIONAL,</w:t>
      </w:r>
    </w:p>
    <w:p w14:paraId="6DAEDB81"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highlight w:val="cyan"/>
          <w:lang w:eastAsia="en-GB"/>
        </w:rPr>
        <w:t>    fr2-Add-UE-NR-Capabilities-v1540        UE-NR-CapabilityAddFRX-Mode-v1540                             OPTIONAL,</w:t>
      </w:r>
    </w:p>
    <w:p w14:paraId="6827C38B"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fr1-fr2-Add-UE-NR-Capabilities          UE-NR-CapabilityAddFRX-Mode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nonCriticalExtension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UE-NR-CapabilityAddFRX-Mode-v1540 ::=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ims-ParametersFRX-Diff                   </w:t>
      </w:r>
      <w:r w:rsidRPr="00DB3D42">
        <w:rPr>
          <w:rFonts w:ascii="Courier New" w:hAnsi="Courier New" w:cs="Courier New"/>
          <w:color w:val="000000"/>
          <w:sz w:val="16"/>
          <w:szCs w:val="16"/>
          <w:highlight w:val="green"/>
          <w:lang w:eastAsia="en-GB"/>
        </w:rPr>
        <w:t>IMS-ParametersFRX-Diff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24"/>
    <w:bookmarkEnd w:id="25"/>
    <w:p w14:paraId="39E2AB74" w14:textId="5C95FCAA" w:rsidR="00204A06" w:rsidRDefault="00204A06" w:rsidP="00204A06">
      <w:pPr>
        <w:pStyle w:val="ad"/>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fdd-Add-UE-NR</w:t>
      </w:r>
      <w:r>
        <w:rPr>
          <w:lang w:eastAsia="ko-KR"/>
        </w:rPr>
        <w:t>/MRDC</w:t>
      </w:r>
      <w:r>
        <w:t>-Capabilities, tdd-Add-UE-NR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3&gt;  include field fdd-Add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3&gt;  include field tdd-Add-UE-NR/MRDC-Capabilities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685B2" w14:textId="77777777" w:rsidR="00A52504" w:rsidRDefault="00A52504" w:rsidP="00942D89">
      <w:pPr>
        <w:spacing w:after="0"/>
      </w:pPr>
      <w:r>
        <w:separator/>
      </w:r>
    </w:p>
  </w:endnote>
  <w:endnote w:type="continuationSeparator" w:id="0">
    <w:p w14:paraId="65D60A96" w14:textId="77777777" w:rsidR="00A52504" w:rsidRDefault="00A52504"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A748B" w14:textId="77777777" w:rsidR="00A52504" w:rsidRDefault="00A52504" w:rsidP="00942D89">
      <w:pPr>
        <w:spacing w:after="0"/>
      </w:pPr>
      <w:r>
        <w:separator/>
      </w:r>
    </w:p>
  </w:footnote>
  <w:footnote w:type="continuationSeparator" w:id="0">
    <w:p w14:paraId="0C522B85" w14:textId="77777777" w:rsidR="00A52504" w:rsidRDefault="00A52504"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9"/>
  </w:num>
  <w:num w:numId="21">
    <w:abstractNumId w:val="28"/>
  </w:num>
  <w:num w:numId="22">
    <w:abstractNumId w:val="6"/>
  </w:num>
  <w:num w:numId="23">
    <w:abstractNumId w:val="14"/>
  </w:num>
  <w:num w:numId="24">
    <w:abstractNumId w:val="31"/>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3"/>
  </w:num>
  <w:num w:numId="33">
    <w:abstractNumId w:val="0"/>
  </w:num>
  <w:num w:numId="34">
    <w:abstractNumId w:val="21"/>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60AE"/>
    <w:rsid w:val="0003437A"/>
    <w:rsid w:val="00035440"/>
    <w:rsid w:val="000374B0"/>
    <w:rsid w:val="00042314"/>
    <w:rsid w:val="00051C94"/>
    <w:rsid w:val="000627A7"/>
    <w:rsid w:val="00075AF5"/>
    <w:rsid w:val="00076DEA"/>
    <w:rsid w:val="000807A9"/>
    <w:rsid w:val="00083365"/>
    <w:rsid w:val="00095AB4"/>
    <w:rsid w:val="000A051B"/>
    <w:rsid w:val="000A5016"/>
    <w:rsid w:val="000B0BB5"/>
    <w:rsid w:val="000C5BA7"/>
    <w:rsid w:val="000F2766"/>
    <w:rsid w:val="000F6E21"/>
    <w:rsid w:val="001023FB"/>
    <w:rsid w:val="0010502B"/>
    <w:rsid w:val="001069E2"/>
    <w:rsid w:val="001072B0"/>
    <w:rsid w:val="00107D10"/>
    <w:rsid w:val="00110278"/>
    <w:rsid w:val="00110600"/>
    <w:rsid w:val="001142F4"/>
    <w:rsid w:val="001157ED"/>
    <w:rsid w:val="001158A6"/>
    <w:rsid w:val="001162DD"/>
    <w:rsid w:val="00125CE0"/>
    <w:rsid w:val="001262DB"/>
    <w:rsid w:val="00133E55"/>
    <w:rsid w:val="0015025C"/>
    <w:rsid w:val="00152E19"/>
    <w:rsid w:val="0016114D"/>
    <w:rsid w:val="00165F51"/>
    <w:rsid w:val="00166C4B"/>
    <w:rsid w:val="001754F4"/>
    <w:rsid w:val="0018190B"/>
    <w:rsid w:val="0019185D"/>
    <w:rsid w:val="001923FE"/>
    <w:rsid w:val="001931A5"/>
    <w:rsid w:val="00193431"/>
    <w:rsid w:val="0019439F"/>
    <w:rsid w:val="00196259"/>
    <w:rsid w:val="00197ECF"/>
    <w:rsid w:val="001A1AEF"/>
    <w:rsid w:val="001A3ABD"/>
    <w:rsid w:val="001C03AA"/>
    <w:rsid w:val="001C7AAF"/>
    <w:rsid w:val="001D069B"/>
    <w:rsid w:val="001D136B"/>
    <w:rsid w:val="001D4DA6"/>
    <w:rsid w:val="001D4DC0"/>
    <w:rsid w:val="001E1677"/>
    <w:rsid w:val="001E645D"/>
    <w:rsid w:val="001F7EC2"/>
    <w:rsid w:val="00204A06"/>
    <w:rsid w:val="002129EE"/>
    <w:rsid w:val="002236A1"/>
    <w:rsid w:val="00225F47"/>
    <w:rsid w:val="00227889"/>
    <w:rsid w:val="00227F78"/>
    <w:rsid w:val="00230020"/>
    <w:rsid w:val="00245ADE"/>
    <w:rsid w:val="0026323C"/>
    <w:rsid w:val="00272924"/>
    <w:rsid w:val="00275095"/>
    <w:rsid w:val="00290EF5"/>
    <w:rsid w:val="0029686F"/>
    <w:rsid w:val="002B0C9F"/>
    <w:rsid w:val="002B129E"/>
    <w:rsid w:val="002C6888"/>
    <w:rsid w:val="002C7D64"/>
    <w:rsid w:val="002D07AC"/>
    <w:rsid w:val="002D5741"/>
    <w:rsid w:val="002E260C"/>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67517"/>
    <w:rsid w:val="00375F6F"/>
    <w:rsid w:val="00380350"/>
    <w:rsid w:val="00380F6C"/>
    <w:rsid w:val="00393F1E"/>
    <w:rsid w:val="00395E4E"/>
    <w:rsid w:val="003A6179"/>
    <w:rsid w:val="003A6AE5"/>
    <w:rsid w:val="003C0C7D"/>
    <w:rsid w:val="003C6D3E"/>
    <w:rsid w:val="003D3BFD"/>
    <w:rsid w:val="003D62A7"/>
    <w:rsid w:val="003E0200"/>
    <w:rsid w:val="003E10B8"/>
    <w:rsid w:val="003E1F66"/>
    <w:rsid w:val="003F3641"/>
    <w:rsid w:val="003F465A"/>
    <w:rsid w:val="00402453"/>
    <w:rsid w:val="00404808"/>
    <w:rsid w:val="004075A3"/>
    <w:rsid w:val="00407ED7"/>
    <w:rsid w:val="0041308F"/>
    <w:rsid w:val="00415907"/>
    <w:rsid w:val="00417390"/>
    <w:rsid w:val="0042127C"/>
    <w:rsid w:val="0042215A"/>
    <w:rsid w:val="0042233A"/>
    <w:rsid w:val="004234EA"/>
    <w:rsid w:val="00434FBF"/>
    <w:rsid w:val="0044290F"/>
    <w:rsid w:val="00466831"/>
    <w:rsid w:val="0047149D"/>
    <w:rsid w:val="004749D4"/>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602B6A"/>
    <w:rsid w:val="00603FC4"/>
    <w:rsid w:val="00614908"/>
    <w:rsid w:val="00614B2A"/>
    <w:rsid w:val="006155D5"/>
    <w:rsid w:val="0061780E"/>
    <w:rsid w:val="0062447C"/>
    <w:rsid w:val="00635536"/>
    <w:rsid w:val="0065373A"/>
    <w:rsid w:val="006571AE"/>
    <w:rsid w:val="00663465"/>
    <w:rsid w:val="006654AC"/>
    <w:rsid w:val="0066689F"/>
    <w:rsid w:val="0068180B"/>
    <w:rsid w:val="006A0080"/>
    <w:rsid w:val="006B5FC3"/>
    <w:rsid w:val="006B6CB4"/>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23F24"/>
    <w:rsid w:val="00725D9E"/>
    <w:rsid w:val="00727C3B"/>
    <w:rsid w:val="00742F28"/>
    <w:rsid w:val="0074622F"/>
    <w:rsid w:val="007467D9"/>
    <w:rsid w:val="0075052E"/>
    <w:rsid w:val="00750C14"/>
    <w:rsid w:val="0075362F"/>
    <w:rsid w:val="007606CA"/>
    <w:rsid w:val="007625E7"/>
    <w:rsid w:val="0077518F"/>
    <w:rsid w:val="00781A8B"/>
    <w:rsid w:val="0079339B"/>
    <w:rsid w:val="007A30F4"/>
    <w:rsid w:val="007B2700"/>
    <w:rsid w:val="007B3938"/>
    <w:rsid w:val="007B70A3"/>
    <w:rsid w:val="007C4A7C"/>
    <w:rsid w:val="007C6038"/>
    <w:rsid w:val="007C7F64"/>
    <w:rsid w:val="007D7F52"/>
    <w:rsid w:val="007F4E67"/>
    <w:rsid w:val="0080047B"/>
    <w:rsid w:val="00806B29"/>
    <w:rsid w:val="00807126"/>
    <w:rsid w:val="00813FFC"/>
    <w:rsid w:val="00814EB1"/>
    <w:rsid w:val="008359E9"/>
    <w:rsid w:val="008511DB"/>
    <w:rsid w:val="00852485"/>
    <w:rsid w:val="00856D42"/>
    <w:rsid w:val="00861480"/>
    <w:rsid w:val="00863BCE"/>
    <w:rsid w:val="008730A6"/>
    <w:rsid w:val="008756D8"/>
    <w:rsid w:val="008802D7"/>
    <w:rsid w:val="00880A5E"/>
    <w:rsid w:val="0088139D"/>
    <w:rsid w:val="00882C7B"/>
    <w:rsid w:val="0088704F"/>
    <w:rsid w:val="0088768B"/>
    <w:rsid w:val="008903E1"/>
    <w:rsid w:val="00892CAF"/>
    <w:rsid w:val="008A6969"/>
    <w:rsid w:val="008B56A6"/>
    <w:rsid w:val="008C7C32"/>
    <w:rsid w:val="008D10D7"/>
    <w:rsid w:val="008D1994"/>
    <w:rsid w:val="008E0231"/>
    <w:rsid w:val="008E0A03"/>
    <w:rsid w:val="008E0DEF"/>
    <w:rsid w:val="008E1A79"/>
    <w:rsid w:val="008E32C0"/>
    <w:rsid w:val="008E50B9"/>
    <w:rsid w:val="008E7095"/>
    <w:rsid w:val="008F07B9"/>
    <w:rsid w:val="008F0AC8"/>
    <w:rsid w:val="008F739B"/>
    <w:rsid w:val="00902179"/>
    <w:rsid w:val="00904117"/>
    <w:rsid w:val="00904AD6"/>
    <w:rsid w:val="00915251"/>
    <w:rsid w:val="00924E76"/>
    <w:rsid w:val="0092623D"/>
    <w:rsid w:val="0092720F"/>
    <w:rsid w:val="00937498"/>
    <w:rsid w:val="009428BC"/>
    <w:rsid w:val="00942D89"/>
    <w:rsid w:val="00951001"/>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5199"/>
    <w:rsid w:val="00A17CC3"/>
    <w:rsid w:val="00A25240"/>
    <w:rsid w:val="00A30EF0"/>
    <w:rsid w:val="00A31E21"/>
    <w:rsid w:val="00A4002D"/>
    <w:rsid w:val="00A43086"/>
    <w:rsid w:val="00A4565C"/>
    <w:rsid w:val="00A46A22"/>
    <w:rsid w:val="00A52504"/>
    <w:rsid w:val="00A6025F"/>
    <w:rsid w:val="00A6252A"/>
    <w:rsid w:val="00A8122D"/>
    <w:rsid w:val="00A817AC"/>
    <w:rsid w:val="00A82E0D"/>
    <w:rsid w:val="00A839CE"/>
    <w:rsid w:val="00A85BBA"/>
    <w:rsid w:val="00A85CE7"/>
    <w:rsid w:val="00A905C9"/>
    <w:rsid w:val="00A91B33"/>
    <w:rsid w:val="00AA1E08"/>
    <w:rsid w:val="00AB0BBA"/>
    <w:rsid w:val="00AB3E82"/>
    <w:rsid w:val="00AC3071"/>
    <w:rsid w:val="00AD0208"/>
    <w:rsid w:val="00AD77AC"/>
    <w:rsid w:val="00AE41A8"/>
    <w:rsid w:val="00AF14C8"/>
    <w:rsid w:val="00AF443C"/>
    <w:rsid w:val="00B015BE"/>
    <w:rsid w:val="00B01612"/>
    <w:rsid w:val="00B040EA"/>
    <w:rsid w:val="00B11803"/>
    <w:rsid w:val="00B14CD4"/>
    <w:rsid w:val="00B1599C"/>
    <w:rsid w:val="00B1781D"/>
    <w:rsid w:val="00B227D9"/>
    <w:rsid w:val="00B304C9"/>
    <w:rsid w:val="00B32D8F"/>
    <w:rsid w:val="00B5380E"/>
    <w:rsid w:val="00B55498"/>
    <w:rsid w:val="00B60FD5"/>
    <w:rsid w:val="00B7124D"/>
    <w:rsid w:val="00B72153"/>
    <w:rsid w:val="00B836F2"/>
    <w:rsid w:val="00B94BB5"/>
    <w:rsid w:val="00BA23B0"/>
    <w:rsid w:val="00BA3E00"/>
    <w:rsid w:val="00BA5DF9"/>
    <w:rsid w:val="00BA73CD"/>
    <w:rsid w:val="00BB4EBC"/>
    <w:rsid w:val="00BB505B"/>
    <w:rsid w:val="00BB6989"/>
    <w:rsid w:val="00BC4271"/>
    <w:rsid w:val="00BC4F10"/>
    <w:rsid w:val="00BC5FB9"/>
    <w:rsid w:val="00BD48CB"/>
    <w:rsid w:val="00BD5596"/>
    <w:rsid w:val="00BE1A6A"/>
    <w:rsid w:val="00BE6F69"/>
    <w:rsid w:val="00C037FF"/>
    <w:rsid w:val="00C058D9"/>
    <w:rsid w:val="00C14A6C"/>
    <w:rsid w:val="00C168BA"/>
    <w:rsid w:val="00C17F8E"/>
    <w:rsid w:val="00C22DE1"/>
    <w:rsid w:val="00C24428"/>
    <w:rsid w:val="00C26390"/>
    <w:rsid w:val="00C32B6F"/>
    <w:rsid w:val="00C333EA"/>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D016D"/>
    <w:rsid w:val="00CD51E9"/>
    <w:rsid w:val="00CE5055"/>
    <w:rsid w:val="00CF5F10"/>
    <w:rsid w:val="00D00402"/>
    <w:rsid w:val="00D01B98"/>
    <w:rsid w:val="00D040AD"/>
    <w:rsid w:val="00D07902"/>
    <w:rsid w:val="00D1128C"/>
    <w:rsid w:val="00D14C33"/>
    <w:rsid w:val="00D16713"/>
    <w:rsid w:val="00D16D2B"/>
    <w:rsid w:val="00D20D57"/>
    <w:rsid w:val="00D23A3C"/>
    <w:rsid w:val="00D2697B"/>
    <w:rsid w:val="00D520CB"/>
    <w:rsid w:val="00D524DD"/>
    <w:rsid w:val="00D5525F"/>
    <w:rsid w:val="00D65042"/>
    <w:rsid w:val="00D670A4"/>
    <w:rsid w:val="00D738FC"/>
    <w:rsid w:val="00D82B65"/>
    <w:rsid w:val="00D87AEA"/>
    <w:rsid w:val="00D9352C"/>
    <w:rsid w:val="00D963D1"/>
    <w:rsid w:val="00DA3E32"/>
    <w:rsid w:val="00DA638E"/>
    <w:rsid w:val="00DA64F1"/>
    <w:rsid w:val="00DB08BE"/>
    <w:rsid w:val="00DB2149"/>
    <w:rsid w:val="00DB3730"/>
    <w:rsid w:val="00DB3D42"/>
    <w:rsid w:val="00DB502D"/>
    <w:rsid w:val="00DC36C1"/>
    <w:rsid w:val="00DD3FD5"/>
    <w:rsid w:val="00DD6119"/>
    <w:rsid w:val="00DE7DE3"/>
    <w:rsid w:val="00DF2E01"/>
    <w:rsid w:val="00DF7E0D"/>
    <w:rsid w:val="00E119B8"/>
    <w:rsid w:val="00E31430"/>
    <w:rsid w:val="00E32BE3"/>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C77C1"/>
    <w:rsid w:val="00ED47D0"/>
    <w:rsid w:val="00ED684C"/>
    <w:rsid w:val="00ED7CBB"/>
    <w:rsid w:val="00ED7D99"/>
    <w:rsid w:val="00EF3EEE"/>
    <w:rsid w:val="00EF53A1"/>
    <w:rsid w:val="00EF7515"/>
    <w:rsid w:val="00F0108A"/>
    <w:rsid w:val="00F0450D"/>
    <w:rsid w:val="00F07E34"/>
    <w:rsid w:val="00F15A94"/>
    <w:rsid w:val="00F16B37"/>
    <w:rsid w:val="00F23ADC"/>
    <w:rsid w:val="00F246B7"/>
    <w:rsid w:val="00F25948"/>
    <w:rsid w:val="00F3112A"/>
    <w:rsid w:val="00F36781"/>
    <w:rsid w:val="00F41E13"/>
    <w:rsid w:val="00F46793"/>
    <w:rsid w:val="00F47396"/>
    <w:rsid w:val="00F54B50"/>
    <w:rsid w:val="00F64E39"/>
    <w:rsid w:val="00F7054F"/>
    <w:rsid w:val="00F71283"/>
    <w:rsid w:val="00F72FD0"/>
    <w:rsid w:val="00F73A55"/>
    <w:rsid w:val="00F75621"/>
    <w:rsid w:val="00F75732"/>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1630FCE9-31F9-8E4A-81CF-9BE188D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EB410E"/>
    <w:pPr>
      <w:numPr>
        <w:ilvl w:val="1"/>
      </w:numPr>
      <w:pBdr>
        <w:top w:val="none" w:sz="0" w:space="0" w:color="auto"/>
      </w:pBdr>
      <w:spacing w:before="180"/>
      <w:outlineLvl w:val="1"/>
    </w:pPr>
    <w:rPr>
      <w:sz w:val="32"/>
    </w:rPr>
  </w:style>
  <w:style w:type="paragraph" w:styleId="3">
    <w:name w:val="heading 3"/>
    <w:aliases w:val="Heading 3 3GPP,Underrubrik2,H3,h3,no break,Memo Heading 3,0H,l3,list 3,Head 3,1.1.1,3rd level,Major Section Sub Section,PA Minor Section,Head3,Level 3 Head,31,32,33,311,321,34,312,322,35,313,323,36,314,324,37,315,325,38,316,326,39,317,327,310"/>
    <w:basedOn w:val="2"/>
    <w:next w:val="a"/>
    <w:link w:val="30"/>
    <w:unhideWhenUsed/>
    <w:qFormat/>
    <w:rsid w:val="00EB410E"/>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a"/>
    <w:next w:val="a"/>
    <w:link w:val="40"/>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aliases w:val="h5,Heading5"/>
    <w:basedOn w:val="a"/>
    <w:next w:val="a"/>
    <w:link w:val="50"/>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EB410E"/>
    <w:rPr>
      <w:rFonts w:ascii="Arial" w:eastAsia="Arial" w:hAnsi="Arial"/>
      <w:noProof/>
      <w:sz w:val="36"/>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EB410E"/>
    <w:rPr>
      <w:rFonts w:ascii="Arial" w:eastAsia="Arial" w:hAnsi="Arial"/>
      <w:noProof/>
      <w:sz w:val="32"/>
      <w:lang w:val="en-GB" w:eastAsia="x-none"/>
    </w:rPr>
  </w:style>
  <w:style w:type="character" w:customStyle="1" w:styleId="30">
    <w:name w:val="标题 3 字符"/>
    <w:aliases w:val="Heading 3 3GPP 字符,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
    <w:link w:val="3"/>
    <w:rsid w:val="00EB410E"/>
    <w:rPr>
      <w:rFonts w:ascii="Arial" w:eastAsia="Arial" w:hAnsi="Arial"/>
      <w:noProof/>
      <w:sz w:val="28"/>
      <w:lang w:val="en-GB" w:eastAsia="x-none"/>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EB410E"/>
    <w:rPr>
      <w:rFonts w:eastAsia="Times New Roman"/>
      <w:b/>
      <w:bCs/>
      <w:sz w:val="28"/>
      <w:szCs w:val="28"/>
      <w:lang w:val="x-none" w:eastAsia="x-none"/>
    </w:rPr>
  </w:style>
  <w:style w:type="character" w:customStyle="1" w:styleId="50">
    <w:name w:val="标题 5 字符"/>
    <w:aliases w:val="h5 字符,Heading5 字符"/>
    <w:link w:val="5"/>
    <w:rsid w:val="00EB410E"/>
    <w:rPr>
      <w:rFonts w:ascii="Cambria" w:eastAsia="宋体" w:hAnsi="Cambria"/>
      <w:color w:val="243F60"/>
      <w:lang w:val="x-none" w:eastAsia="x-none"/>
    </w:rPr>
  </w:style>
  <w:style w:type="character" w:customStyle="1" w:styleId="60">
    <w:name w:val="标题 6 字符"/>
    <w:link w:val="6"/>
    <w:rsid w:val="00EB410E"/>
    <w:rPr>
      <w:rFonts w:eastAsia="Times New Roman"/>
      <w:b/>
      <w:bCs/>
      <w:sz w:val="22"/>
      <w:szCs w:val="22"/>
      <w:lang w:val="x-none" w:eastAsia="x-none"/>
    </w:rPr>
  </w:style>
  <w:style w:type="character" w:customStyle="1" w:styleId="70">
    <w:name w:val="标题 7 字符"/>
    <w:link w:val="7"/>
    <w:rsid w:val="00EB410E"/>
    <w:rPr>
      <w:rFonts w:eastAsia="Times New Roman"/>
      <w:sz w:val="24"/>
      <w:szCs w:val="24"/>
      <w:lang w:val="x-none" w:eastAsia="x-none"/>
    </w:rPr>
  </w:style>
  <w:style w:type="character" w:customStyle="1" w:styleId="80">
    <w:name w:val="标题 8 字符"/>
    <w:link w:val="8"/>
    <w:rsid w:val="00EB410E"/>
    <w:rPr>
      <w:rFonts w:eastAsia="Times New Roman"/>
      <w:i/>
      <w:iCs/>
      <w:sz w:val="24"/>
      <w:szCs w:val="24"/>
      <w:lang w:val="x-none" w:eastAsia="x-none"/>
    </w:rPr>
  </w:style>
  <w:style w:type="character" w:customStyle="1" w:styleId="90">
    <w:name w:val="标题 9 字符"/>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EB410E"/>
    <w:rPr>
      <w:rFonts w:ascii="Arial" w:eastAsia="宋体"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nhideWhenUsed/>
    <w:rsid w:val="00ED7D99"/>
    <w:pPr>
      <w:spacing w:after="120"/>
    </w:pPr>
  </w:style>
  <w:style w:type="character" w:customStyle="1" w:styleId="a6">
    <w:name w:val="正文文本 字符"/>
    <w:link w:val="a5"/>
    <w:rsid w:val="00ED7D99"/>
    <w:rPr>
      <w:rFonts w:ascii="Times New Roman" w:eastAsia="宋体"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a"/>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a7"/>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21"/>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31"/>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a7">
    <w:name w:val="List"/>
    <w:basedOn w:val="a"/>
    <w:unhideWhenUsed/>
    <w:rsid w:val="00863BCE"/>
    <w:pPr>
      <w:ind w:left="360" w:hanging="360"/>
      <w:contextualSpacing/>
    </w:pPr>
  </w:style>
  <w:style w:type="paragraph" w:styleId="21">
    <w:name w:val="List 2"/>
    <w:basedOn w:val="a"/>
    <w:unhideWhenUsed/>
    <w:rsid w:val="00863BCE"/>
    <w:pPr>
      <w:ind w:left="720" w:hanging="360"/>
      <w:contextualSpacing/>
    </w:pPr>
  </w:style>
  <w:style w:type="paragraph" w:styleId="31">
    <w:name w:val="List 3"/>
    <w:basedOn w:val="a"/>
    <w:unhideWhenUsed/>
    <w:rsid w:val="00863BCE"/>
    <w:pPr>
      <w:ind w:left="1080" w:hanging="360"/>
      <w:contextualSpacing/>
    </w:pPr>
  </w:style>
  <w:style w:type="paragraph" w:styleId="a8">
    <w:name w:val="annotation text"/>
    <w:basedOn w:val="a"/>
    <w:link w:val="a9"/>
    <w:uiPriority w:val="99"/>
    <w:qFormat/>
    <w:rsid w:val="008D10D7"/>
    <w:pPr>
      <w:overflowPunct/>
      <w:autoSpaceDE/>
      <w:autoSpaceDN/>
      <w:adjustRightInd/>
    </w:pPr>
    <w:rPr>
      <w:rFonts w:eastAsiaTheme="minorEastAsia"/>
      <w:lang w:val="en-GB"/>
    </w:rPr>
  </w:style>
  <w:style w:type="character" w:customStyle="1" w:styleId="a9">
    <w:name w:val="批注文字 字符"/>
    <w:basedOn w:val="a1"/>
    <w:link w:val="a8"/>
    <w:uiPriority w:val="99"/>
    <w:rsid w:val="008D10D7"/>
    <w:rPr>
      <w:rFonts w:ascii="Times New Roman" w:eastAsiaTheme="minorEastAsia" w:hAnsi="Times New Roman"/>
      <w:lang w:val="en-GB"/>
    </w:rPr>
  </w:style>
  <w:style w:type="character" w:styleId="aa">
    <w:name w:val="annotation reference"/>
    <w:uiPriority w:val="99"/>
    <w:qFormat/>
    <w:rsid w:val="008D10D7"/>
    <w:rPr>
      <w:sz w:val="16"/>
    </w:rPr>
  </w:style>
  <w:style w:type="paragraph" w:styleId="ab">
    <w:name w:val="Balloon Text"/>
    <w:basedOn w:val="a"/>
    <w:link w:val="ac"/>
    <w:uiPriority w:val="99"/>
    <w:unhideWhenUsed/>
    <w:rsid w:val="00D040AD"/>
    <w:pPr>
      <w:spacing w:after="0"/>
    </w:pPr>
    <w:rPr>
      <w:rFonts w:ascii="Segoe UI" w:hAnsi="Segoe UI" w:cs="Segoe UI"/>
      <w:sz w:val="18"/>
      <w:szCs w:val="18"/>
    </w:rPr>
  </w:style>
  <w:style w:type="character" w:customStyle="1" w:styleId="ac">
    <w:name w:val="批注框文本 字符"/>
    <w:basedOn w:val="a1"/>
    <w:link w:val="ab"/>
    <w:uiPriority w:val="99"/>
    <w:rsid w:val="00D040AD"/>
    <w:rPr>
      <w:rFonts w:ascii="Segoe UI" w:eastAsia="宋体" w:hAnsi="Segoe UI" w:cs="Segoe UI"/>
      <w:sz w:val="18"/>
      <w:szCs w:val="18"/>
    </w:rPr>
  </w:style>
  <w:style w:type="paragraph" w:styleId="ad">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a"/>
    <w:link w:val="ae"/>
    <w:uiPriority w:val="34"/>
    <w:qFormat/>
    <w:rsid w:val="008F0AC8"/>
    <w:pPr>
      <w:ind w:left="720"/>
      <w:contextualSpacing/>
    </w:pPr>
  </w:style>
  <w:style w:type="table" w:styleId="af">
    <w:name w:val="Table Grid"/>
    <w:basedOn w:val="a2"/>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unhideWhenUsed/>
    <w:rsid w:val="002B0C9F"/>
    <w:pPr>
      <w:overflowPunct w:val="0"/>
      <w:autoSpaceDE w:val="0"/>
      <w:autoSpaceDN w:val="0"/>
      <w:adjustRightInd w:val="0"/>
    </w:pPr>
    <w:rPr>
      <w:rFonts w:eastAsia="宋体"/>
      <w:b/>
      <w:bCs/>
      <w:lang w:val="en-US"/>
    </w:rPr>
  </w:style>
  <w:style w:type="character" w:customStyle="1" w:styleId="af1">
    <w:name w:val="批注主题 字符"/>
    <w:basedOn w:val="a9"/>
    <w:link w:val="af0"/>
    <w:rsid w:val="002B0C9F"/>
    <w:rPr>
      <w:rFonts w:ascii="Times New Roman" w:eastAsia="宋体" w:hAnsi="Times New Roman"/>
      <w:b/>
      <w:bCs/>
      <w:lang w:val="en-GB"/>
    </w:rPr>
  </w:style>
  <w:style w:type="paragraph" w:customStyle="1" w:styleId="Doc-text2">
    <w:name w:val="Doc-text2"/>
    <w:basedOn w:val="a"/>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a"/>
    <w:next w:val="a"/>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a"/>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81">
    <w:name w:val="toc 8"/>
    <w:basedOn w:val="1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1"/>
    <w:uiPriority w:val="39"/>
    <w:rsid w:val="001158A6"/>
    <w:pPr>
      <w:ind w:left="1701" w:hanging="1701"/>
    </w:pPr>
  </w:style>
  <w:style w:type="paragraph" w:styleId="41">
    <w:name w:val="toc 4"/>
    <w:basedOn w:val="32"/>
    <w:uiPriority w:val="39"/>
    <w:qFormat/>
    <w:rsid w:val="001158A6"/>
    <w:pPr>
      <w:ind w:left="1418" w:hanging="1418"/>
    </w:pPr>
  </w:style>
  <w:style w:type="paragraph" w:styleId="32">
    <w:name w:val="toc 3"/>
    <w:basedOn w:val="22"/>
    <w:uiPriority w:val="39"/>
    <w:rsid w:val="001158A6"/>
    <w:pPr>
      <w:ind w:left="1134" w:hanging="1134"/>
    </w:pPr>
  </w:style>
  <w:style w:type="paragraph" w:styleId="22">
    <w:name w:val="toc 2"/>
    <w:basedOn w:val="1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23">
    <w:name w:val="index 2"/>
    <w:basedOn w:val="12"/>
    <w:rsid w:val="001158A6"/>
    <w:pPr>
      <w:ind w:left="284"/>
    </w:pPr>
  </w:style>
  <w:style w:type="paragraph" w:styleId="12">
    <w:name w:val="index 1"/>
    <w:basedOn w:val="a"/>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1"/>
    <w:next w:val="a"/>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24">
    <w:name w:val="List Number 2"/>
    <w:basedOn w:val="af2"/>
    <w:rsid w:val="001158A6"/>
    <w:pPr>
      <w:ind w:left="851"/>
    </w:pPr>
  </w:style>
  <w:style w:type="character" w:styleId="af3">
    <w:name w:val="footnote reference"/>
    <w:rsid w:val="001158A6"/>
    <w:rPr>
      <w:b/>
      <w:position w:val="6"/>
      <w:sz w:val="16"/>
    </w:rPr>
  </w:style>
  <w:style w:type="paragraph" w:styleId="af4">
    <w:name w:val="footnote text"/>
    <w:basedOn w:val="a"/>
    <w:link w:val="af5"/>
    <w:rsid w:val="001158A6"/>
    <w:pPr>
      <w:keepLines/>
      <w:overflowPunct/>
      <w:autoSpaceDE/>
      <w:autoSpaceDN/>
      <w:adjustRightInd/>
      <w:spacing w:after="0"/>
      <w:ind w:left="454" w:hanging="454"/>
    </w:pPr>
    <w:rPr>
      <w:rFonts w:eastAsia="Times New Roman"/>
      <w:sz w:val="16"/>
      <w:lang w:val="en-GB"/>
    </w:rPr>
  </w:style>
  <w:style w:type="character" w:customStyle="1" w:styleId="af5">
    <w:name w:val="脚注文本 字符"/>
    <w:basedOn w:val="a1"/>
    <w:link w:val="af4"/>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a"/>
    <w:link w:val="NOChar"/>
    <w:qFormat/>
    <w:rsid w:val="001158A6"/>
    <w:pPr>
      <w:keepLines/>
      <w:overflowPunct/>
      <w:autoSpaceDE/>
      <w:autoSpaceDN/>
      <w:adjustRightInd/>
      <w:ind w:left="1135" w:hanging="851"/>
    </w:pPr>
    <w:rPr>
      <w:rFonts w:eastAsia="Times New Roman"/>
      <w:lang w:val="en-GB"/>
    </w:rPr>
  </w:style>
  <w:style w:type="paragraph" w:styleId="91">
    <w:name w:val="toc 9"/>
    <w:basedOn w:val="81"/>
    <w:uiPriority w:val="39"/>
    <w:rsid w:val="001158A6"/>
    <w:pPr>
      <w:ind w:left="1418" w:hanging="1418"/>
    </w:pPr>
  </w:style>
  <w:style w:type="paragraph" w:customStyle="1" w:styleId="EX">
    <w:name w:val="EX"/>
    <w:basedOn w:val="a"/>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a"/>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61">
    <w:name w:val="toc 6"/>
    <w:basedOn w:val="51"/>
    <w:next w:val="a"/>
    <w:uiPriority w:val="39"/>
    <w:rsid w:val="001158A6"/>
    <w:pPr>
      <w:ind w:left="1985" w:hanging="1985"/>
    </w:pPr>
  </w:style>
  <w:style w:type="paragraph" w:styleId="71">
    <w:name w:val="toc 7"/>
    <w:basedOn w:val="61"/>
    <w:next w:val="a"/>
    <w:uiPriority w:val="39"/>
    <w:rsid w:val="001158A6"/>
    <w:pPr>
      <w:ind w:left="2268" w:hanging="2268"/>
    </w:pPr>
  </w:style>
  <w:style w:type="paragraph" w:styleId="25">
    <w:name w:val="List Bullet 2"/>
    <w:basedOn w:val="af6"/>
    <w:rsid w:val="001158A6"/>
    <w:pPr>
      <w:ind w:left="851"/>
    </w:pPr>
  </w:style>
  <w:style w:type="paragraph" w:styleId="33">
    <w:name w:val="List Bullet 3"/>
    <w:basedOn w:val="25"/>
    <w:rsid w:val="001158A6"/>
    <w:pPr>
      <w:ind w:left="1135"/>
    </w:pPr>
  </w:style>
  <w:style w:type="paragraph" w:styleId="af2">
    <w:name w:val="List Number"/>
    <w:basedOn w:val="a7"/>
    <w:rsid w:val="001158A6"/>
    <w:pPr>
      <w:overflowPunct/>
      <w:autoSpaceDE/>
      <w:autoSpaceDN/>
      <w:adjustRightInd/>
      <w:ind w:left="568" w:hanging="284"/>
      <w:contextualSpacing w:val="0"/>
    </w:pPr>
    <w:rPr>
      <w:rFonts w:eastAsia="Times New Roman"/>
      <w:lang w:val="en-GB"/>
    </w:rPr>
  </w:style>
  <w:style w:type="paragraph" w:customStyle="1" w:styleId="EQ">
    <w:name w:val="EQ"/>
    <w:basedOn w:val="a"/>
    <w:next w:val="a"/>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5"/>
    <w:next w:val="a"/>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a"/>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42">
    <w:name w:val="List 4"/>
    <w:basedOn w:val="31"/>
    <w:rsid w:val="001158A6"/>
    <w:pPr>
      <w:overflowPunct/>
      <w:autoSpaceDE/>
      <w:autoSpaceDN/>
      <w:adjustRightInd/>
      <w:ind w:left="1418" w:hanging="284"/>
      <w:contextualSpacing w:val="0"/>
    </w:pPr>
    <w:rPr>
      <w:rFonts w:eastAsia="Times New Roman"/>
      <w:lang w:val="en-GB"/>
    </w:rPr>
  </w:style>
  <w:style w:type="paragraph" w:styleId="52">
    <w:name w:val="List 5"/>
    <w:basedOn w:val="42"/>
    <w:rsid w:val="001158A6"/>
    <w:pPr>
      <w:ind w:left="1702"/>
    </w:pPr>
  </w:style>
  <w:style w:type="paragraph" w:styleId="af6">
    <w:name w:val="List Bullet"/>
    <w:basedOn w:val="a7"/>
    <w:rsid w:val="001158A6"/>
    <w:pPr>
      <w:overflowPunct/>
      <w:autoSpaceDE/>
      <w:autoSpaceDN/>
      <w:adjustRightInd/>
      <w:ind w:left="568" w:hanging="284"/>
      <w:contextualSpacing w:val="0"/>
    </w:pPr>
    <w:rPr>
      <w:rFonts w:eastAsia="Times New Roman"/>
      <w:lang w:val="en-GB"/>
    </w:rPr>
  </w:style>
  <w:style w:type="paragraph" w:styleId="43">
    <w:name w:val="List Bullet 4"/>
    <w:basedOn w:val="33"/>
    <w:rsid w:val="001158A6"/>
    <w:pPr>
      <w:ind w:left="1418"/>
    </w:pPr>
  </w:style>
  <w:style w:type="paragraph" w:styleId="53">
    <w:name w:val="List Bullet 5"/>
    <w:basedOn w:val="43"/>
    <w:rsid w:val="001158A6"/>
    <w:pPr>
      <w:ind w:left="1702"/>
    </w:pPr>
  </w:style>
  <w:style w:type="paragraph" w:customStyle="1" w:styleId="B4">
    <w:name w:val="B4"/>
    <w:basedOn w:val="42"/>
    <w:link w:val="B4Char"/>
    <w:qFormat/>
    <w:rsid w:val="001158A6"/>
  </w:style>
  <w:style w:type="paragraph" w:customStyle="1" w:styleId="B5">
    <w:name w:val="B5"/>
    <w:basedOn w:val="52"/>
    <w:link w:val="B5Char"/>
    <w:rsid w:val="001158A6"/>
  </w:style>
  <w:style w:type="paragraph" w:styleId="af7">
    <w:name w:val="footer"/>
    <w:basedOn w:val="a0"/>
    <w:link w:val="af8"/>
    <w:rsid w:val="001158A6"/>
    <w:pPr>
      <w:overflowPunct/>
      <w:autoSpaceDE/>
      <w:autoSpaceDN/>
      <w:adjustRightInd/>
      <w:jc w:val="center"/>
    </w:pPr>
    <w:rPr>
      <w:rFonts w:eastAsia="Times New Roman"/>
      <w:i/>
      <w:lang w:val="en-GB"/>
    </w:rPr>
  </w:style>
  <w:style w:type="character" w:customStyle="1" w:styleId="af8">
    <w:name w:val="页脚 字符"/>
    <w:basedOn w:val="a1"/>
    <w:link w:val="af7"/>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af9">
    <w:name w:val="Hyperlink"/>
    <w:rsid w:val="001158A6"/>
    <w:rPr>
      <w:color w:val="0000FF"/>
      <w:u w:val="single"/>
    </w:rPr>
  </w:style>
  <w:style w:type="character" w:styleId="afa">
    <w:name w:val="FollowedHyperlink"/>
    <w:rsid w:val="001158A6"/>
    <w:rPr>
      <w:color w:val="800080"/>
      <w:u w:val="single"/>
    </w:rPr>
  </w:style>
  <w:style w:type="paragraph" w:styleId="afb">
    <w:name w:val="Document Map"/>
    <w:basedOn w:val="a"/>
    <w:link w:val="afc"/>
    <w:rsid w:val="001158A6"/>
    <w:pPr>
      <w:shd w:val="clear" w:color="auto" w:fill="000080"/>
      <w:overflowPunct/>
      <w:autoSpaceDE/>
      <w:autoSpaceDN/>
      <w:adjustRightInd/>
    </w:pPr>
    <w:rPr>
      <w:rFonts w:ascii="Tahoma" w:eastAsia="Times New Roman" w:hAnsi="Tahoma" w:cs="Tahoma"/>
      <w:lang w:val="en-GB"/>
    </w:rPr>
  </w:style>
  <w:style w:type="character" w:customStyle="1" w:styleId="afc">
    <w:name w:val="文档结构图 字符"/>
    <w:basedOn w:val="a1"/>
    <w:link w:val="afb"/>
    <w:rsid w:val="001158A6"/>
    <w:rPr>
      <w:rFonts w:ascii="Tahoma" w:eastAsia="Times New Roman" w:hAnsi="Tahoma" w:cs="Tahoma"/>
      <w:shd w:val="clear" w:color="auto" w:fill="000080"/>
      <w:lang w:val="en-GB"/>
    </w:rPr>
  </w:style>
  <w:style w:type="paragraph" w:customStyle="1" w:styleId="TP-change">
    <w:name w:val="TP-change"/>
    <w:basedOn w:val="a"/>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宋体"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a"/>
    <w:rsid w:val="001158A6"/>
    <w:pPr>
      <w:overflowPunct/>
      <w:autoSpaceDE/>
      <w:autoSpaceDN/>
      <w:adjustRightInd/>
    </w:pPr>
    <w:rPr>
      <w:rFonts w:eastAsia="Malgun Gothic"/>
      <w:i/>
      <w:color w:val="0000FF"/>
      <w:lang w:val="en-GB"/>
    </w:rPr>
  </w:style>
  <w:style w:type="paragraph" w:styleId="afd">
    <w:name w:val="index heading"/>
    <w:basedOn w:val="a"/>
    <w:next w:val="a"/>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a"/>
    <w:rsid w:val="001158A6"/>
    <w:pPr>
      <w:overflowPunct/>
      <w:autoSpaceDE/>
      <w:autoSpaceDN/>
      <w:adjustRightInd/>
      <w:ind w:left="851"/>
    </w:pPr>
    <w:rPr>
      <w:rFonts w:eastAsia="Times New Roman"/>
      <w:lang w:val="en-GB"/>
    </w:rPr>
  </w:style>
  <w:style w:type="paragraph" w:customStyle="1" w:styleId="INDENT2">
    <w:name w:val="INDENT2"/>
    <w:basedOn w:val="a"/>
    <w:rsid w:val="001158A6"/>
    <w:pPr>
      <w:overflowPunct/>
      <w:autoSpaceDE/>
      <w:autoSpaceDN/>
      <w:adjustRightInd/>
      <w:ind w:left="1135" w:hanging="284"/>
    </w:pPr>
    <w:rPr>
      <w:rFonts w:eastAsia="Times New Roman"/>
      <w:lang w:val="en-GB"/>
    </w:rPr>
  </w:style>
  <w:style w:type="paragraph" w:customStyle="1" w:styleId="INDENT3">
    <w:name w:val="INDENT3"/>
    <w:basedOn w:val="a"/>
    <w:rsid w:val="001158A6"/>
    <w:pPr>
      <w:overflowPunct/>
      <w:autoSpaceDE/>
      <w:autoSpaceDN/>
      <w:adjustRightInd/>
      <w:ind w:left="1701" w:hanging="567"/>
    </w:pPr>
    <w:rPr>
      <w:rFonts w:eastAsia="Times New Roman"/>
      <w:lang w:val="en-GB"/>
    </w:rPr>
  </w:style>
  <w:style w:type="paragraph" w:customStyle="1" w:styleId="FigureTitle">
    <w:name w:val="Figure_Title"/>
    <w:basedOn w:val="a"/>
    <w:next w:val="a"/>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rsid w:val="001158A6"/>
    <w:pPr>
      <w:keepNext/>
      <w:keepLines/>
      <w:overflowPunct/>
      <w:autoSpaceDE/>
      <w:autoSpaceDN/>
      <w:adjustRightInd/>
    </w:pPr>
    <w:rPr>
      <w:rFonts w:eastAsia="Times New Roman"/>
      <w:b/>
      <w:lang w:val="en-GB"/>
    </w:rPr>
  </w:style>
  <w:style w:type="paragraph" w:customStyle="1" w:styleId="enumlev2">
    <w:name w:val="enumlev2"/>
    <w:basedOn w:val="a"/>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rsid w:val="001158A6"/>
    <w:pPr>
      <w:keepNext/>
      <w:keepLines/>
      <w:overflowPunct/>
      <w:autoSpaceDE/>
      <w:autoSpaceDN/>
      <w:adjustRightInd/>
      <w:spacing w:before="240"/>
      <w:ind w:left="1418"/>
    </w:pPr>
    <w:rPr>
      <w:rFonts w:ascii="Arial" w:eastAsia="Times New Roman" w:hAnsi="Arial"/>
      <w:b/>
      <w:sz w:val="36"/>
    </w:rPr>
  </w:style>
  <w:style w:type="paragraph" w:styleId="afe">
    <w:name w:val="caption"/>
    <w:basedOn w:val="a"/>
    <w:next w:val="a"/>
    <w:qFormat/>
    <w:rsid w:val="001158A6"/>
    <w:pPr>
      <w:overflowPunct/>
      <w:autoSpaceDE/>
      <w:autoSpaceDN/>
      <w:adjustRightInd/>
      <w:spacing w:before="120" w:after="120"/>
    </w:pPr>
    <w:rPr>
      <w:rFonts w:eastAsia="Times New Roman"/>
      <w:b/>
      <w:lang w:val="en-GB"/>
    </w:rPr>
  </w:style>
  <w:style w:type="paragraph" w:styleId="aff">
    <w:name w:val="Plain Text"/>
    <w:basedOn w:val="a"/>
    <w:link w:val="aff0"/>
    <w:rsid w:val="001158A6"/>
    <w:pPr>
      <w:overflowPunct/>
      <w:autoSpaceDE/>
      <w:autoSpaceDN/>
      <w:adjustRightInd/>
    </w:pPr>
    <w:rPr>
      <w:rFonts w:ascii="Courier New" w:eastAsia="Times New Roman" w:hAnsi="Courier New"/>
      <w:lang w:val="nb-NO"/>
    </w:rPr>
  </w:style>
  <w:style w:type="character" w:customStyle="1" w:styleId="aff0">
    <w:name w:val="纯文本 字符"/>
    <w:basedOn w:val="a1"/>
    <w:link w:val="aff"/>
    <w:rsid w:val="001158A6"/>
    <w:rPr>
      <w:rFonts w:ascii="Courier New" w:eastAsia="Times New Roman" w:hAnsi="Courier New"/>
      <w:lang w:val="nb-NO"/>
    </w:rPr>
  </w:style>
  <w:style w:type="character" w:styleId="aff1">
    <w:name w:val="page number"/>
    <w:basedOn w:val="a1"/>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mmentSubject1">
    <w:name w:val="Comment Subject1"/>
    <w:basedOn w:val="a8"/>
    <w:next w:val="a8"/>
    <w:semiHidden/>
    <w:rsid w:val="001158A6"/>
    <w:pPr>
      <w:numPr>
        <w:numId w:val="15"/>
      </w:numPr>
      <w:tabs>
        <w:tab w:val="clear" w:pos="851"/>
      </w:tabs>
      <w:ind w:left="0" w:firstLine="0"/>
    </w:pPr>
    <w:rPr>
      <w:rFonts w:eastAsia="MS Mincho"/>
      <w:b/>
      <w:bCs/>
    </w:rPr>
  </w:style>
  <w:style w:type="paragraph" w:customStyle="1" w:styleId="Note">
    <w:name w:val="Note"/>
    <w:basedOn w:val="a"/>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aff2">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aff3">
    <w:name w:val="Body Text Indent"/>
    <w:basedOn w:val="a"/>
    <w:link w:val="aff4"/>
    <w:rsid w:val="001158A6"/>
    <w:pPr>
      <w:spacing w:after="120"/>
      <w:ind w:left="426" w:hanging="426"/>
      <w:jc w:val="both"/>
      <w:textAlignment w:val="baseline"/>
    </w:pPr>
    <w:rPr>
      <w:rFonts w:eastAsia="MS Mincho"/>
      <w:sz w:val="22"/>
      <w:lang w:val="x-none" w:eastAsia="zh-CN"/>
    </w:rPr>
  </w:style>
  <w:style w:type="character" w:customStyle="1" w:styleId="aff4">
    <w:name w:val="正文文本缩进 字符"/>
    <w:basedOn w:val="a1"/>
    <w:link w:val="aff3"/>
    <w:rsid w:val="001158A6"/>
    <w:rPr>
      <w:rFonts w:ascii="Times New Roman" w:eastAsia="MS Mincho" w:hAnsi="Times New Roman"/>
      <w:sz w:val="22"/>
      <w:lang w:val="x-none" w:eastAsia="zh-CN"/>
    </w:rPr>
  </w:style>
  <w:style w:type="paragraph" w:styleId="26">
    <w:name w:val="Body Text 2"/>
    <w:basedOn w:val="a"/>
    <w:link w:val="27"/>
    <w:rsid w:val="001158A6"/>
    <w:pPr>
      <w:spacing w:after="0"/>
      <w:jc w:val="both"/>
      <w:textAlignment w:val="baseline"/>
    </w:pPr>
    <w:rPr>
      <w:rFonts w:eastAsia="MS Mincho"/>
      <w:sz w:val="24"/>
      <w:lang w:val="x-none" w:eastAsia="en-GB"/>
    </w:rPr>
  </w:style>
  <w:style w:type="character" w:customStyle="1" w:styleId="27">
    <w:name w:val="正文文本 2 字符"/>
    <w:basedOn w:val="a1"/>
    <w:link w:val="26"/>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aff5">
    <w:name w:val="Strong"/>
    <w:uiPriority w:val="22"/>
    <w:qFormat/>
    <w:rsid w:val="001158A6"/>
    <w:rPr>
      <w:b/>
      <w:bCs/>
    </w:rPr>
  </w:style>
  <w:style w:type="character" w:customStyle="1" w:styleId="ae">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d"/>
    <w:uiPriority w:val="34"/>
    <w:qFormat/>
    <w:locked/>
    <w:rsid w:val="001158A6"/>
    <w:rPr>
      <w:rFonts w:ascii="Times New Roman" w:eastAsia="宋体"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13">
    <w:name w:val="Table Grid 1"/>
    <w:basedOn w:val="a2"/>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4">
    <w:name w:val="リストなし1"/>
    <w:next w:val="a3"/>
    <w:uiPriority w:val="99"/>
    <w:semiHidden/>
    <w:unhideWhenUsed/>
    <w:rsid w:val="001158A6"/>
  </w:style>
  <w:style w:type="table" w:customStyle="1" w:styleId="15">
    <w:name w:val="表 (格子)1"/>
    <w:basedOn w:val="a2"/>
    <w:next w:val="af"/>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next w:val="13"/>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a3"/>
    <w:uiPriority w:val="99"/>
    <w:semiHidden/>
    <w:rsid w:val="001158A6"/>
  </w:style>
  <w:style w:type="numbering" w:customStyle="1" w:styleId="NoList2">
    <w:name w:val="No List2"/>
    <w:next w:val="a3"/>
    <w:uiPriority w:val="99"/>
    <w:semiHidden/>
    <w:rsid w:val="001158A6"/>
  </w:style>
  <w:style w:type="numbering" w:customStyle="1" w:styleId="111">
    <w:name w:val="リストなし11"/>
    <w:next w:val="a3"/>
    <w:uiPriority w:val="99"/>
    <w:semiHidden/>
    <w:unhideWhenUsed/>
    <w:rsid w:val="001158A6"/>
  </w:style>
  <w:style w:type="numbering" w:customStyle="1" w:styleId="NoList3">
    <w:name w:val="No List3"/>
    <w:next w:val="a3"/>
    <w:uiPriority w:val="99"/>
    <w:semiHidden/>
    <w:unhideWhenUsed/>
    <w:rsid w:val="001158A6"/>
  </w:style>
  <w:style w:type="table" w:customStyle="1" w:styleId="TableGrid1">
    <w:name w:val="Table Grid1"/>
    <w:basedOn w:val="a2"/>
    <w:next w:val="af"/>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3"/>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932BC-0FE5-43A3-BFA3-03F2C071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48802-7825-4045-9F83-2FA29A7D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8</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OPPO</cp:lastModifiedBy>
  <cp:revision>19</cp:revision>
  <dcterms:created xsi:type="dcterms:W3CDTF">2020-04-09T23:29:00Z</dcterms:created>
  <dcterms:modified xsi:type="dcterms:W3CDTF">2020-05-14T06:15:00Z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54693506-9323-47f3-b766-9e15a4c099c1</vt:lpwstr>
  </property>
  <property fmtid="{D5CDD505-2E9C-101B-9397-08002B2CF9AE}" pid="3" name="CTP_TimeStamp">
    <vt:lpwstr>2020-05-12 20:36:49Z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0x0101003AA7AC0C743A294CADF60F661720E3E6</vt:lpwstr>
  </property>
  <property fmtid="{D5CDD505-2E9C-101B-9397-08002B2CF9AE}" pid="8"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9"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10" name="CTPClassification">
    <vt:lpwstr>CTP_NT</vt:lpwstr>
  </property>
</Properties>
</file>