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proofErr w:type="spellStart"/>
      <w:r w:rsidR="00F7266F">
        <w:rPr>
          <w:rFonts w:asciiTheme="minorHAnsi" w:hAnsiTheme="minorHAnsi" w:cstheme="minorHAnsi"/>
          <w:b/>
          <w:bCs/>
          <w:sz w:val="24"/>
          <w:lang w:val="en-US" w:eastAsia="en-US"/>
        </w:rPr>
        <w:t>MediaTek</w:t>
      </w:r>
      <w:proofErr w:type="spellEnd"/>
      <w:r w:rsidR="00F7266F">
        <w:rPr>
          <w:rFonts w:asciiTheme="minorHAnsi" w:hAnsiTheme="minorHAnsi" w:cstheme="minorHAnsi"/>
          <w:b/>
          <w:bCs/>
          <w:sz w:val="24"/>
          <w:lang w:val="en-US" w:eastAsia="en-US"/>
        </w:rPr>
        <w:t xml:space="preserve"> </w:t>
      </w:r>
      <w:proofErr w:type="spellStart"/>
      <w:r w:rsidR="00F7266F">
        <w:rPr>
          <w:rFonts w:asciiTheme="minorHAnsi" w:hAnsiTheme="minorHAnsi" w:cstheme="minorHAnsi"/>
          <w:b/>
          <w:bCs/>
          <w:sz w:val="24"/>
          <w:lang w:val="en-US" w:eastAsia="en-US"/>
        </w:rPr>
        <w:t>Inc</w:t>
      </w:r>
      <w:proofErr w:type="spellEnd"/>
      <w:r w:rsidR="00F7266F">
        <w:rPr>
          <w:rFonts w:asciiTheme="minorHAnsi" w:hAnsiTheme="minorHAnsi" w:cstheme="minorHAnsi"/>
          <w:b/>
          <w:bCs/>
          <w:sz w:val="24"/>
          <w:lang w:val="en-US" w:eastAsia="en-US"/>
        </w:rPr>
        <w:t>,</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523AFD">
      <w:pPr>
        <w:pStyle w:val="ListParagraph"/>
        <w:numPr>
          <w:ilvl w:val="0"/>
          <w:numId w:val="44"/>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523AFD">
      <w:pPr>
        <w:numPr>
          <w:ilvl w:val="0"/>
          <w:numId w:val="29"/>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proofErr w:type="spellStart"/>
            <w:r>
              <w:rPr>
                <w:rFonts w:asciiTheme="minorHAnsi" w:eastAsia="等线" w:hAnsiTheme="minorHAnsi" w:cstheme="minorHAnsi"/>
                <w:sz w:val="20"/>
                <w:lang w:val="en-US"/>
              </w:rPr>
              <w:t>Accoding</w:t>
            </w:r>
            <w:proofErr w:type="spellEnd"/>
            <w:r>
              <w:rPr>
                <w:rFonts w:asciiTheme="minorHAnsi" w:eastAsia="等线" w:hAnsiTheme="minorHAnsi" w:cstheme="minorHAnsi"/>
                <w:sz w:val="20"/>
                <w:lang w:val="en-US"/>
              </w:rPr>
              <w:t xml:space="preserve">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power saving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w:t>
            </w:r>
            <w:proofErr w:type="spellStart"/>
            <w:r w:rsidR="00B20E12">
              <w:rPr>
                <w:rFonts w:asciiTheme="minorHAnsi" w:eastAsia="等线" w:hAnsiTheme="minorHAnsi" w:cstheme="minorHAnsi"/>
                <w:sz w:val="20"/>
                <w:lang w:val="en-US"/>
              </w:rPr>
              <w:t>inpendently</w:t>
            </w:r>
            <w:proofErr w:type="spellEnd"/>
            <w:r w:rsidR="00B20E12">
              <w:rPr>
                <w:rFonts w:asciiTheme="minorHAnsi" w:eastAsia="等线"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w:t>
            </w:r>
            <w:r w:rsidR="00B26A56">
              <w:rPr>
                <w:rFonts w:asciiTheme="minorHAnsi" w:eastAsia="等线" w:hAnsiTheme="minorHAnsi" w:cstheme="minorHAnsi"/>
                <w:sz w:val="20"/>
                <w:lang w:val="en-US"/>
              </w:rPr>
              <w:t>,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175A3E">
            <w:pPr>
              <w:pStyle w:val="B1"/>
              <w:numPr>
                <w:ilvl w:val="0"/>
                <w:numId w:val="45"/>
              </w:numPr>
            </w:pPr>
            <w:r>
              <w:rPr>
                <w:rFonts w:eastAsia="等线"/>
                <w:lang w:eastAsia="zh-CN"/>
              </w:rPr>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proofErr w:type="spellStart"/>
            <w:r w:rsidRPr="006A6A4E">
              <w:rPr>
                <w:rFonts w:asciiTheme="minorHAnsi" w:eastAsia="等线" w:hAnsiTheme="minorHAnsi" w:cstheme="minorHAnsi"/>
                <w:sz w:val="20"/>
              </w:rPr>
              <w:t>Accoding</w:t>
            </w:r>
            <w:proofErr w:type="spellEnd"/>
            <w:r w:rsidRPr="006A6A4E">
              <w:rPr>
                <w:rFonts w:asciiTheme="minorHAnsi" w:eastAsia="等线" w:hAnsiTheme="minorHAnsi" w:cstheme="minorHAnsi"/>
                <w:sz w:val="20"/>
              </w:rPr>
              <w:t xml:space="preserve"> to RAN2#109e-bis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481F89">
            <w:pPr>
              <w:pStyle w:val="ListParagraph"/>
              <w:numPr>
                <w:ilvl w:val="0"/>
                <w:numId w:val="4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proofErr w:type="spellStart"/>
            <w:r w:rsidRPr="00481F89">
              <w:rPr>
                <w:rFonts w:asciiTheme="minorHAnsi" w:eastAsia="等线" w:hAnsiTheme="minorHAnsi" w:cstheme="minorHAnsi"/>
                <w:sz w:val="20"/>
              </w:rPr>
              <w:t>reducedCCsDL</w:t>
            </w:r>
            <w:proofErr w:type="spellEnd"/>
          </w:p>
          <w:p w14:paraId="259E68B5" w14:textId="76F86D3D"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proofErr w:type="spellStart"/>
            <w:r w:rsidRPr="00481F89">
              <w:rPr>
                <w:rFonts w:asciiTheme="minorHAnsi" w:eastAsia="等线" w:hAnsiTheme="minorHAnsi" w:cstheme="minorHAnsi"/>
                <w:sz w:val="20"/>
              </w:rPr>
              <w:t>reducedCCsUL</w:t>
            </w:r>
            <w:proofErr w:type="spellEnd"/>
          </w:p>
          <w:p w14:paraId="6B8DCCF0" w14:textId="77777777"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481F89">
            <w:pPr>
              <w:pStyle w:val="ListParagraph"/>
              <w:numPr>
                <w:ilvl w:val="0"/>
                <w:numId w:val="4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o</w:t>
            </w:r>
            <w:bookmarkStart w:id="1" w:name="_GoBack"/>
            <w:bookmarkEnd w:id="1"/>
            <w:r>
              <w:t xml:space="preserve">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lastRenderedPageBreak/>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proofErr w:type="spellStart"/>
      <w:r w:rsidRPr="006A6E99">
        <w:rPr>
          <w:rFonts w:asciiTheme="minorHAnsi" w:hAnsiTheme="minorHAnsi" w:cstheme="minorHAnsi"/>
          <w:szCs w:val="22"/>
        </w:rPr>
        <w:t>Ipsum</w:t>
      </w:r>
      <w:proofErr w:type="spellEnd"/>
      <w:r w:rsidRPr="006A6E99">
        <w:rPr>
          <w:rFonts w:asciiTheme="minorHAnsi" w:hAnsiTheme="minorHAnsi" w:cstheme="minorHAnsi"/>
          <w:szCs w:val="22"/>
        </w:rPr>
        <w:t xml:space="preserve"> </w:t>
      </w:r>
      <w:proofErr w:type="spellStart"/>
      <w:r w:rsidRPr="006A6E99">
        <w:rPr>
          <w:rFonts w:asciiTheme="minorHAnsi" w:hAnsiTheme="minorHAnsi" w:cstheme="minorHAnsi"/>
          <w:szCs w:val="22"/>
        </w:rPr>
        <w:t>Lorem</w:t>
      </w:r>
      <w:proofErr w:type="spellEnd"/>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F7266F">
      <w:pPr>
        <w:pStyle w:val="ListParagraph"/>
        <w:numPr>
          <w:ilvl w:val="0"/>
          <w:numId w:val="42"/>
        </w:numPr>
        <w:rPr>
          <w:rFonts w:asciiTheme="minorHAnsi" w:hAnsiTheme="minorHAnsi" w:cstheme="minorHAnsi"/>
        </w:rPr>
      </w:pPr>
      <w:bookmarkStart w:id="2"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
    </w:p>
    <w:p w14:paraId="6FC355AE" w14:textId="7E47A74D" w:rsidR="00F7266F" w:rsidRDefault="00F7266F" w:rsidP="00FA78DC">
      <w:pPr>
        <w:pStyle w:val="ListParagraph"/>
        <w:numPr>
          <w:ilvl w:val="0"/>
          <w:numId w:val="42"/>
        </w:numPr>
        <w:rPr>
          <w:rFonts w:asciiTheme="minorHAnsi" w:hAnsiTheme="minorHAnsi" w:cstheme="minorHAnsi"/>
        </w:rPr>
      </w:pPr>
      <w:bookmarkStart w:id="3"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3"/>
    </w:p>
    <w:p w14:paraId="38E86F45" w14:textId="36B13ADF" w:rsidR="006A6E99" w:rsidRPr="00F7266F" w:rsidRDefault="006A6E99" w:rsidP="006A6E99">
      <w:pPr>
        <w:pStyle w:val="ListParagraph"/>
        <w:numPr>
          <w:ilvl w:val="0"/>
          <w:numId w:val="42"/>
        </w:numPr>
        <w:rPr>
          <w:rFonts w:asciiTheme="minorHAnsi" w:hAnsiTheme="minorHAnsi" w:cstheme="minorHAnsi"/>
        </w:rPr>
      </w:pPr>
      <w:bookmarkStart w:id="4"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4"/>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57DC1" w14:textId="77777777" w:rsidR="00E62536" w:rsidRDefault="00E62536">
      <w:pPr>
        <w:spacing w:after="0" w:line="240" w:lineRule="auto"/>
      </w:pPr>
      <w:r>
        <w:separator/>
      </w:r>
    </w:p>
  </w:endnote>
  <w:endnote w:type="continuationSeparator" w:id="0">
    <w:p w14:paraId="587AD6F6" w14:textId="77777777" w:rsidR="00E62536" w:rsidRDefault="00E62536">
      <w:pPr>
        <w:spacing w:after="0" w:line="240" w:lineRule="auto"/>
      </w:pPr>
      <w:r>
        <w:continuationSeparator/>
      </w:r>
    </w:p>
  </w:endnote>
  <w:endnote w:type="continuationNotice" w:id="1">
    <w:p w14:paraId="32508650" w14:textId="77777777" w:rsidR="00E62536" w:rsidRDefault="00E62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DFB60" w14:textId="77777777" w:rsidR="00E62536" w:rsidRDefault="00E62536">
      <w:pPr>
        <w:spacing w:after="0" w:line="240" w:lineRule="auto"/>
      </w:pPr>
      <w:r>
        <w:separator/>
      </w:r>
    </w:p>
  </w:footnote>
  <w:footnote w:type="continuationSeparator" w:id="0">
    <w:p w14:paraId="1D70D7AB" w14:textId="77777777" w:rsidR="00E62536" w:rsidRDefault="00E62536">
      <w:pPr>
        <w:spacing w:after="0" w:line="240" w:lineRule="auto"/>
      </w:pPr>
      <w:r>
        <w:continuationSeparator/>
      </w:r>
    </w:p>
  </w:footnote>
  <w:footnote w:type="continuationNotice" w:id="1">
    <w:p w14:paraId="7DC4149B" w14:textId="77777777" w:rsidR="00E62536" w:rsidRDefault="00E6253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B7454"/>
    <w:multiLevelType w:val="hybridMultilevel"/>
    <w:tmpl w:val="0E88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21C30"/>
    <w:multiLevelType w:val="hybridMultilevel"/>
    <w:tmpl w:val="2A08E1CA"/>
    <w:lvl w:ilvl="0" w:tplc="EACC2D9C">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0B6A79"/>
    <w:multiLevelType w:val="hybridMultilevel"/>
    <w:tmpl w:val="CFBA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156450A8"/>
    <w:multiLevelType w:val="hybridMultilevel"/>
    <w:tmpl w:val="09E2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BC3465C"/>
    <w:multiLevelType w:val="multilevel"/>
    <w:tmpl w:val="53541EA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0272057"/>
    <w:multiLevelType w:val="hybridMultilevel"/>
    <w:tmpl w:val="BC324178"/>
    <w:lvl w:ilvl="0" w:tplc="EA94DEF8">
      <w:start w:val="1"/>
      <w:numFmt w:val="bullet"/>
      <w:lvlText w:val="•"/>
      <w:lvlJc w:val="left"/>
      <w:pPr>
        <w:tabs>
          <w:tab w:val="num" w:pos="720"/>
        </w:tabs>
        <w:ind w:left="720" w:hanging="360"/>
      </w:pPr>
      <w:rPr>
        <w:rFonts w:ascii="Arial" w:hAnsi="Arial" w:hint="default"/>
      </w:rPr>
    </w:lvl>
    <w:lvl w:ilvl="1" w:tplc="61345DA2">
      <w:start w:val="1"/>
      <w:numFmt w:val="bullet"/>
      <w:lvlText w:val="•"/>
      <w:lvlJc w:val="left"/>
      <w:pPr>
        <w:tabs>
          <w:tab w:val="num" w:pos="1440"/>
        </w:tabs>
        <w:ind w:left="1440" w:hanging="360"/>
      </w:pPr>
      <w:rPr>
        <w:rFonts w:ascii="Arial" w:hAnsi="Arial" w:hint="default"/>
      </w:rPr>
    </w:lvl>
    <w:lvl w:ilvl="2" w:tplc="81EE2F4C" w:tentative="1">
      <w:start w:val="1"/>
      <w:numFmt w:val="bullet"/>
      <w:lvlText w:val="•"/>
      <w:lvlJc w:val="left"/>
      <w:pPr>
        <w:tabs>
          <w:tab w:val="num" w:pos="2160"/>
        </w:tabs>
        <w:ind w:left="2160" w:hanging="360"/>
      </w:pPr>
      <w:rPr>
        <w:rFonts w:ascii="Arial" w:hAnsi="Arial" w:hint="default"/>
      </w:rPr>
    </w:lvl>
    <w:lvl w:ilvl="3" w:tplc="E36C567C" w:tentative="1">
      <w:start w:val="1"/>
      <w:numFmt w:val="bullet"/>
      <w:lvlText w:val="•"/>
      <w:lvlJc w:val="left"/>
      <w:pPr>
        <w:tabs>
          <w:tab w:val="num" w:pos="2880"/>
        </w:tabs>
        <w:ind w:left="2880" w:hanging="360"/>
      </w:pPr>
      <w:rPr>
        <w:rFonts w:ascii="Arial" w:hAnsi="Arial" w:hint="default"/>
      </w:rPr>
    </w:lvl>
    <w:lvl w:ilvl="4" w:tplc="36C8FE9A" w:tentative="1">
      <w:start w:val="1"/>
      <w:numFmt w:val="bullet"/>
      <w:lvlText w:val="•"/>
      <w:lvlJc w:val="left"/>
      <w:pPr>
        <w:tabs>
          <w:tab w:val="num" w:pos="3600"/>
        </w:tabs>
        <w:ind w:left="3600" w:hanging="360"/>
      </w:pPr>
      <w:rPr>
        <w:rFonts w:ascii="Arial" w:hAnsi="Arial" w:hint="default"/>
      </w:rPr>
    </w:lvl>
    <w:lvl w:ilvl="5" w:tplc="FF807180" w:tentative="1">
      <w:start w:val="1"/>
      <w:numFmt w:val="bullet"/>
      <w:lvlText w:val="•"/>
      <w:lvlJc w:val="left"/>
      <w:pPr>
        <w:tabs>
          <w:tab w:val="num" w:pos="4320"/>
        </w:tabs>
        <w:ind w:left="4320" w:hanging="360"/>
      </w:pPr>
      <w:rPr>
        <w:rFonts w:ascii="Arial" w:hAnsi="Arial" w:hint="default"/>
      </w:rPr>
    </w:lvl>
    <w:lvl w:ilvl="6" w:tplc="DF6E03C6" w:tentative="1">
      <w:start w:val="1"/>
      <w:numFmt w:val="bullet"/>
      <w:lvlText w:val="•"/>
      <w:lvlJc w:val="left"/>
      <w:pPr>
        <w:tabs>
          <w:tab w:val="num" w:pos="5040"/>
        </w:tabs>
        <w:ind w:left="5040" w:hanging="360"/>
      </w:pPr>
      <w:rPr>
        <w:rFonts w:ascii="Arial" w:hAnsi="Arial" w:hint="default"/>
      </w:rPr>
    </w:lvl>
    <w:lvl w:ilvl="7" w:tplc="FCDE535E" w:tentative="1">
      <w:start w:val="1"/>
      <w:numFmt w:val="bullet"/>
      <w:lvlText w:val="•"/>
      <w:lvlJc w:val="left"/>
      <w:pPr>
        <w:tabs>
          <w:tab w:val="num" w:pos="5760"/>
        </w:tabs>
        <w:ind w:left="5760" w:hanging="360"/>
      </w:pPr>
      <w:rPr>
        <w:rFonts w:ascii="Arial" w:hAnsi="Arial" w:hint="default"/>
      </w:rPr>
    </w:lvl>
    <w:lvl w:ilvl="8" w:tplc="93E64EC4" w:tentative="1">
      <w:start w:val="1"/>
      <w:numFmt w:val="bullet"/>
      <w:lvlText w:val="•"/>
      <w:lvlJc w:val="left"/>
      <w:pPr>
        <w:tabs>
          <w:tab w:val="num" w:pos="6480"/>
        </w:tabs>
        <w:ind w:left="6480" w:hanging="360"/>
      </w:pPr>
      <w:rPr>
        <w:rFonts w:ascii="Arial" w:hAnsi="Arial" w:hint="default"/>
      </w:rPr>
    </w:lvl>
  </w:abstractNum>
  <w:abstractNum w:abstractNumId="13">
    <w:nsid w:val="25F14C59"/>
    <w:multiLevelType w:val="hybridMultilevel"/>
    <w:tmpl w:val="75E0B8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FA2965"/>
    <w:multiLevelType w:val="hybridMultilevel"/>
    <w:tmpl w:val="73446C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2A872DB2"/>
    <w:multiLevelType w:val="hybridMultilevel"/>
    <w:tmpl w:val="59465E4E"/>
    <w:lvl w:ilvl="0" w:tplc="4EDA6A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7660B"/>
    <w:multiLevelType w:val="hybridMultilevel"/>
    <w:tmpl w:val="E1E49BF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E449EE"/>
    <w:multiLevelType w:val="hybridMultilevel"/>
    <w:tmpl w:val="E5160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A145A89"/>
    <w:multiLevelType w:val="multilevel"/>
    <w:tmpl w:val="6B82B67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70485"/>
    <w:multiLevelType w:val="hybridMultilevel"/>
    <w:tmpl w:val="A2B215F0"/>
    <w:lvl w:ilvl="0" w:tplc="BBC85D4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nsid w:val="45924454"/>
    <w:multiLevelType w:val="hybridMultilevel"/>
    <w:tmpl w:val="D9CAD9E0"/>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41D000F">
      <w:start w:val="1"/>
      <w:numFmt w:val="decimal"/>
      <w:lvlText w:val="%3."/>
      <w:lvlJc w:val="left"/>
      <w:pPr>
        <w:ind w:left="2520" w:hanging="360"/>
      </w:p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C03D4B"/>
    <w:multiLevelType w:val="multilevel"/>
    <w:tmpl w:val="2C1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5E1771"/>
    <w:multiLevelType w:val="hybridMultilevel"/>
    <w:tmpl w:val="237EDBBA"/>
    <w:lvl w:ilvl="0" w:tplc="E6DAF128">
      <w:start w:val="2"/>
      <w:numFmt w:val="bullet"/>
      <w:lvlText w:val="-"/>
      <w:lvlJc w:val="left"/>
      <w:pPr>
        <w:ind w:left="720" w:hanging="360"/>
      </w:pPr>
      <w:rPr>
        <w:rFonts w:ascii="Times New Roman" w:eastAsia="Arial Unicode MS"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483928"/>
    <w:multiLevelType w:val="hybridMultilevel"/>
    <w:tmpl w:val="F514944C"/>
    <w:lvl w:ilvl="0" w:tplc="BBC85D46">
      <w:start w:val="6"/>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90D2157"/>
    <w:multiLevelType w:val="hybridMultilevel"/>
    <w:tmpl w:val="700A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8B29E7"/>
    <w:multiLevelType w:val="hybridMultilevel"/>
    <w:tmpl w:val="7F0ED3DE"/>
    <w:lvl w:ilvl="0" w:tplc="10000001">
      <w:start w:val="1"/>
      <w:numFmt w:val="bullet"/>
      <w:lvlText w:val=""/>
      <w:lvlJc w:val="left"/>
      <w:pPr>
        <w:ind w:left="1275" w:hanging="360"/>
      </w:pPr>
      <w:rPr>
        <w:rFonts w:ascii="Symbol" w:hAnsi="Symbol" w:hint="default"/>
      </w:rPr>
    </w:lvl>
    <w:lvl w:ilvl="1" w:tplc="10000003">
      <w:start w:val="1"/>
      <w:numFmt w:val="bullet"/>
      <w:lvlText w:val="o"/>
      <w:lvlJc w:val="left"/>
      <w:pPr>
        <w:ind w:left="1995" w:hanging="360"/>
      </w:pPr>
      <w:rPr>
        <w:rFonts w:ascii="Courier New" w:hAnsi="Courier New" w:cs="Courier New" w:hint="default"/>
      </w:rPr>
    </w:lvl>
    <w:lvl w:ilvl="2" w:tplc="10000005">
      <w:start w:val="1"/>
      <w:numFmt w:val="bullet"/>
      <w:lvlText w:val=""/>
      <w:lvlJc w:val="left"/>
      <w:pPr>
        <w:ind w:left="2715" w:hanging="360"/>
      </w:pPr>
      <w:rPr>
        <w:rFonts w:ascii="Wingdings" w:hAnsi="Wingdings" w:hint="default"/>
      </w:rPr>
    </w:lvl>
    <w:lvl w:ilvl="3" w:tplc="10000001">
      <w:start w:val="1"/>
      <w:numFmt w:val="bullet"/>
      <w:lvlText w:val=""/>
      <w:lvlJc w:val="left"/>
      <w:pPr>
        <w:ind w:left="3435" w:hanging="360"/>
      </w:pPr>
      <w:rPr>
        <w:rFonts w:ascii="Symbol" w:hAnsi="Symbol" w:hint="default"/>
      </w:rPr>
    </w:lvl>
    <w:lvl w:ilvl="4" w:tplc="10000003">
      <w:start w:val="1"/>
      <w:numFmt w:val="bullet"/>
      <w:lvlText w:val="o"/>
      <w:lvlJc w:val="left"/>
      <w:pPr>
        <w:ind w:left="4155" w:hanging="360"/>
      </w:pPr>
      <w:rPr>
        <w:rFonts w:ascii="Courier New" w:hAnsi="Courier New" w:cs="Courier New" w:hint="default"/>
      </w:rPr>
    </w:lvl>
    <w:lvl w:ilvl="5" w:tplc="10000005">
      <w:start w:val="1"/>
      <w:numFmt w:val="bullet"/>
      <w:lvlText w:val=""/>
      <w:lvlJc w:val="left"/>
      <w:pPr>
        <w:ind w:left="4875" w:hanging="360"/>
      </w:pPr>
      <w:rPr>
        <w:rFonts w:ascii="Wingdings" w:hAnsi="Wingdings" w:hint="default"/>
      </w:rPr>
    </w:lvl>
    <w:lvl w:ilvl="6" w:tplc="10000001">
      <w:start w:val="1"/>
      <w:numFmt w:val="bullet"/>
      <w:lvlText w:val=""/>
      <w:lvlJc w:val="left"/>
      <w:pPr>
        <w:ind w:left="5595" w:hanging="360"/>
      </w:pPr>
      <w:rPr>
        <w:rFonts w:ascii="Symbol" w:hAnsi="Symbol" w:hint="default"/>
      </w:rPr>
    </w:lvl>
    <w:lvl w:ilvl="7" w:tplc="10000003">
      <w:start w:val="1"/>
      <w:numFmt w:val="bullet"/>
      <w:lvlText w:val="o"/>
      <w:lvlJc w:val="left"/>
      <w:pPr>
        <w:ind w:left="6315" w:hanging="360"/>
      </w:pPr>
      <w:rPr>
        <w:rFonts w:ascii="Courier New" w:hAnsi="Courier New" w:cs="Courier New" w:hint="default"/>
      </w:rPr>
    </w:lvl>
    <w:lvl w:ilvl="8" w:tplc="10000005">
      <w:start w:val="1"/>
      <w:numFmt w:val="bullet"/>
      <w:lvlText w:val=""/>
      <w:lvlJc w:val="left"/>
      <w:pPr>
        <w:ind w:left="7035" w:hanging="360"/>
      </w:pPr>
      <w:rPr>
        <w:rFonts w:ascii="Wingdings" w:hAnsi="Wingdings" w:hint="default"/>
      </w:rPr>
    </w:lvl>
  </w:abstractNum>
  <w:abstractNum w:abstractNumId="35">
    <w:nsid w:val="638824EA"/>
    <w:multiLevelType w:val="hybridMultilevel"/>
    <w:tmpl w:val="F1981C2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nsid w:val="658A1BCB"/>
    <w:multiLevelType w:val="hybridMultilevel"/>
    <w:tmpl w:val="FB8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06EAD"/>
    <w:multiLevelType w:val="hybridMultilevel"/>
    <w:tmpl w:val="4B72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9">
    <w:nsid w:val="73914EED"/>
    <w:multiLevelType w:val="hybridMultilevel"/>
    <w:tmpl w:val="3724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3">
    <w:nsid w:val="7A362AFC"/>
    <w:multiLevelType w:val="hybridMultilevel"/>
    <w:tmpl w:val="825A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EA00F5"/>
    <w:multiLevelType w:val="hybridMultilevel"/>
    <w:tmpl w:val="B3EE35B0"/>
    <w:lvl w:ilvl="0" w:tplc="0409000F">
      <w:start w:val="1"/>
      <w:numFmt w:val="decimal"/>
      <w:lvlText w:val="%1."/>
      <w:lvlJc w:val="left"/>
      <w:pPr>
        <w:ind w:left="3330"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22"/>
  </w:num>
  <w:num w:numId="2">
    <w:abstractNumId w:val="38"/>
  </w:num>
  <w:num w:numId="3">
    <w:abstractNumId w:val="41"/>
  </w:num>
  <w:num w:numId="4">
    <w:abstractNumId w:val="29"/>
  </w:num>
  <w:num w:numId="5">
    <w:abstractNumId w:val="23"/>
  </w:num>
  <w:num w:numId="6">
    <w:abstractNumId w:val="43"/>
  </w:num>
  <w:num w:numId="7">
    <w:abstractNumId w:val="13"/>
  </w:num>
  <w:num w:numId="8">
    <w:abstractNumId w:val="9"/>
  </w:num>
  <w:num w:numId="9">
    <w:abstractNumId w:val="14"/>
  </w:num>
  <w:num w:numId="10">
    <w:abstractNumId w:val="42"/>
  </w:num>
  <w:num w:numId="11">
    <w:abstractNumId w:val="33"/>
  </w:num>
  <w:num w:numId="12">
    <w:abstractNumId w:val="12"/>
  </w:num>
  <w:num w:numId="13">
    <w:abstractNumId w:val="19"/>
  </w:num>
  <w:num w:numId="14">
    <w:abstractNumId w:val="16"/>
  </w:num>
  <w:num w:numId="15">
    <w:abstractNumId w:val="21"/>
  </w:num>
  <w:num w:numId="16">
    <w:abstractNumId w:val="31"/>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8"/>
  </w:num>
  <w:num w:numId="20">
    <w:abstractNumId w:val="27"/>
  </w:num>
  <w:num w:numId="21">
    <w:abstractNumId w:val="20"/>
  </w:num>
  <w:num w:numId="22">
    <w:abstractNumId w:val="1"/>
  </w:num>
  <w:num w:numId="23">
    <w:abstractNumId w:val="4"/>
  </w:num>
  <w:num w:numId="24">
    <w:abstractNumId w:val="44"/>
  </w:num>
  <w:num w:numId="25">
    <w:abstractNumId w:val="39"/>
  </w:num>
  <w:num w:numId="26">
    <w:abstractNumId w:val="25"/>
  </w:num>
  <w:num w:numId="27">
    <w:abstractNumId w:val="28"/>
  </w:num>
  <w:num w:numId="28">
    <w:abstractNumId w:val="26"/>
    <w:lvlOverride w:ilvl="0"/>
    <w:lvlOverride w:ilvl="1"/>
    <w:lvlOverride w:ilvl="2">
      <w:startOverride w:val="1"/>
    </w:lvlOverride>
    <w:lvlOverride w:ilvl="3"/>
    <w:lvlOverride w:ilvl="4"/>
    <w:lvlOverride w:ilvl="5"/>
    <w:lvlOverride w:ilvl="6"/>
    <w:lvlOverride w:ilvl="7"/>
    <w:lvlOverride w:ilvl="8"/>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num>
  <w:num w:numId="32">
    <w:abstractNumId w:val="0"/>
  </w:num>
  <w:num w:numId="33">
    <w:abstractNumId w:val="30"/>
  </w:num>
  <w:num w:numId="34">
    <w:abstractNumId w:val="3"/>
  </w:num>
  <w:num w:numId="35">
    <w:abstractNumId w:val="37"/>
  </w:num>
  <w:num w:numId="36">
    <w:abstractNumId w:val="34"/>
  </w:num>
  <w:num w:numId="37">
    <w:abstractNumId w:val="5"/>
  </w:num>
  <w:num w:numId="38">
    <w:abstractNumId w:val="36"/>
  </w:num>
  <w:num w:numId="39">
    <w:abstractNumId w:val="29"/>
  </w:num>
  <w:num w:numId="40">
    <w:abstractNumId w:val="11"/>
  </w:num>
  <w:num w:numId="41">
    <w:abstractNumId w:val="35"/>
  </w:num>
  <w:num w:numId="42">
    <w:abstractNumId w:val="2"/>
  </w:num>
  <w:num w:numId="43">
    <w:abstractNumId w:val="7"/>
  </w:num>
  <w:num w:numId="44">
    <w:abstractNumId w:val="6"/>
  </w:num>
  <w:num w:numId="45">
    <w:abstractNumId w:val="8"/>
  </w:num>
  <w:num w:numId="46">
    <w:abstractNumId w:val="32"/>
  </w:num>
  <w:num w:numId="47">
    <w:abstractNumId w:val="17"/>
  </w:num>
  <w:num w:numId="48">
    <w:abstractNumId w:val="10"/>
  </w:num>
  <w:num w:numId="49">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EFB"/>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803EC"/>
    <w:rsid w:val="00780940"/>
    <w:rsid w:val="00780BC2"/>
    <w:rsid w:val="00781064"/>
    <w:rsid w:val="0078246B"/>
    <w:rsid w:val="0078277F"/>
    <w:rsid w:val="00782A14"/>
    <w:rsid w:val="00783363"/>
    <w:rsid w:val="007835E0"/>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402D2"/>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7C97"/>
    <w:rsid w:val="00F00411"/>
    <w:rsid w:val="00F004A9"/>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
    <w:name w:val="Unresolved Mention"/>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
    <w:name w:val="Unresolved Mention"/>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2020-05-19T06:45:00Z</dcterms:created>
  <dcterms:modified xsi:type="dcterms:W3CDTF">2020-05-19T07:12:00Z</dcterms:modified>
</cp:coreProperties>
</file>