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6784B" w14:textId="77777777" w:rsidR="00CB40E6" w:rsidRPr="00871E60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14:paraId="2041DAFF" w14:textId="77777777"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14:paraId="197B24F5" w14:textId="77777777"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</w:rPr>
      </w:pPr>
      <w:r w:rsidRPr="00871E60">
        <w:rPr>
          <w:rFonts w:ascii="Arial" w:hAnsi="Arial" w:cs="Arial"/>
          <w:b/>
        </w:rPr>
        <w:t>Agenda Item:</w:t>
      </w:r>
      <w:r w:rsidRPr="00871E60">
        <w:rPr>
          <w:rFonts w:ascii="Arial" w:hAnsi="Arial" w:cs="Arial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</w:rPr>
        <w:tab/>
      </w:r>
      <w:r w:rsidR="00853215" w:rsidRPr="00871E60">
        <w:rPr>
          <w:rFonts w:ascii="Arial" w:hAnsi="Arial" w:cs="Arial"/>
        </w:rPr>
        <w:t>5.4.3</w:t>
      </w:r>
      <w:r w:rsidR="00853215" w:rsidRPr="00871E60">
        <w:rPr>
          <w:rFonts w:ascii="Arial" w:hAnsi="Arial" w:cs="Arial"/>
        </w:rPr>
        <w:tab/>
      </w:r>
    </w:p>
    <w:p w14:paraId="244586F3" w14:textId="77777777" w:rsidR="00CB40E6" w:rsidRPr="00871E60" w:rsidRDefault="00F35990" w:rsidP="00F35990">
      <w:pPr>
        <w:tabs>
          <w:tab w:val="left" w:pos="567"/>
        </w:tabs>
        <w:rPr>
          <w:rFonts w:ascii="Arial" w:eastAsia="SimSun" w:hAnsi="Arial" w:cs="Arial"/>
        </w:rPr>
      </w:pPr>
      <w:r w:rsidRPr="00871E60">
        <w:rPr>
          <w:rFonts w:ascii="Arial" w:hAnsi="Arial" w:cs="Arial"/>
          <w:b/>
        </w:rPr>
        <w:t>Source:</w:t>
      </w:r>
      <w:r w:rsidR="00CB40E6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150F4C" w:rsidRPr="00871E60">
        <w:rPr>
          <w:rFonts w:ascii="Arial" w:hAnsi="Arial" w:cs="Arial"/>
        </w:rPr>
        <w:t>Huawei</w:t>
      </w:r>
      <w:r w:rsidR="003017D8" w:rsidRPr="00871E60">
        <w:rPr>
          <w:rFonts w:ascii="Arial" w:hAnsi="Arial" w:cs="Arial"/>
        </w:rPr>
        <w:t>, HiSilicon</w:t>
      </w:r>
    </w:p>
    <w:p w14:paraId="1A56D7BF" w14:textId="77777777" w:rsidR="00BD7C2A" w:rsidRPr="00871E60" w:rsidRDefault="00CB40E6" w:rsidP="00BD7C2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Title:</w:t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772112" w:rsidRPr="00772112">
        <w:rPr>
          <w:rFonts w:ascii="Arial" w:hAnsi="Arial" w:cs="Arial"/>
        </w:rPr>
        <w:t>[Post109bis-e][923][NR15] clarification on codebook parameters for 2-32 (Huawei)</w:t>
      </w:r>
    </w:p>
    <w:p w14:paraId="109F6819" w14:textId="77777777" w:rsidR="004B3C92" w:rsidRPr="00871E60" w:rsidRDefault="004B3C92" w:rsidP="00367EE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WI code</w:t>
      </w:r>
      <w:r w:rsidR="00D62905" w:rsidRPr="00871E60">
        <w:rPr>
          <w:rFonts w:ascii="Arial" w:hAnsi="Arial" w:cs="Arial"/>
          <w:b/>
        </w:rPr>
        <w:t>(s)</w:t>
      </w:r>
      <w:r w:rsidRPr="00871E60">
        <w:rPr>
          <w:rFonts w:ascii="Arial" w:hAnsi="Arial" w:cs="Arial"/>
          <w:b/>
        </w:rPr>
        <w:t>:</w:t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9B5AA8" w:rsidRPr="00871E60">
        <w:rPr>
          <w:rFonts w:ascii="Arial" w:hAnsi="Arial" w:cs="Arial"/>
        </w:rPr>
        <w:t>NR_newRAT-Core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Document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</w:rPr>
        <w:t>Discussion and Decision</w:t>
      </w:r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SimSun" w:hAnsi="Arial" w:cs="Arial"/>
        </w:rPr>
      </w:pPr>
    </w:p>
    <w:p w14:paraId="2251E94E" w14:textId="77777777" w:rsidR="00CF1C6C" w:rsidRPr="00871E60" w:rsidRDefault="004F7FE5" w:rsidP="00A579DE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14:paraId="3B7023B6" w14:textId="77777777" w:rsidR="009B5AA8" w:rsidRPr="00871E60" w:rsidRDefault="00B14FF5" w:rsidP="001E10F6">
      <w:pPr>
        <w:rPr>
          <w:rFonts w:ascii="Arial" w:eastAsia="MS Mincho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MS Mincho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MS Mincho" w:hAnsi="Arial" w:cs="Arial"/>
          <w:szCs w:val="24"/>
          <w:lang w:eastAsia="en-GB"/>
        </w:rPr>
        <w:t>:</w:t>
      </w:r>
    </w:p>
    <w:p w14:paraId="5816D6CE" w14:textId="77777777" w:rsidR="00772112" w:rsidRDefault="00772112" w:rsidP="00772112">
      <w:pPr>
        <w:pStyle w:val="EmailDiscussion"/>
      </w:pPr>
      <w:r>
        <w:t xml:space="preserve">[Post109bis-e][923][NR15]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14:paraId="07E5360F" w14:textId="77777777" w:rsidR="007B6FBB" w:rsidRPr="00871E60" w:rsidRDefault="007B6FBB" w:rsidP="00E56400">
      <w:pPr>
        <w:rPr>
          <w:rFonts w:ascii="Arial" w:eastAsia="SimSun" w:hAnsi="Arial" w:cs="Arial"/>
        </w:rPr>
      </w:pPr>
    </w:p>
    <w:p w14:paraId="7F5790D9" w14:textId="77777777" w:rsidR="00A31492" w:rsidRPr="00871E60" w:rsidRDefault="00A31492" w:rsidP="00012015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14:paraId="5D5CC5E6" w14:textId="77777777" w:rsidR="006A4A73" w:rsidRPr="00871E60" w:rsidRDefault="006A4A73" w:rsidP="006A4A73">
      <w:pPr>
        <w:pStyle w:val="Heading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Default="00772112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The updated CR is in the draft folder</w:t>
      </w:r>
      <w:r w:rsidR="003017D8" w:rsidRPr="00871E60">
        <w:rPr>
          <w:rFonts w:ascii="Arial" w:eastAsia="SimSun" w:hAnsi="Arial" w:cs="Arial"/>
        </w:rPr>
        <w:t>.</w:t>
      </w:r>
      <w:r w:rsidR="00CB5248">
        <w:rPr>
          <w:rFonts w:ascii="Arial" w:eastAsia="SimSun" w:hAnsi="Arial" w:cs="Arial"/>
        </w:rPr>
        <w:t xml:space="preserve"> The current wording in the CR is as below</w:t>
      </w:r>
      <w:r w:rsidR="00B43CEA">
        <w:rPr>
          <w:rFonts w:ascii="Arial" w:eastAsia="SimSun" w:hAnsi="Arial" w:cs="Arial"/>
        </w:rPr>
        <w:t>. Please note the below wording is already a compromise considering under-reporting issue in Rel-15.</w:t>
      </w:r>
    </w:p>
    <w:p w14:paraId="4829C7E6" w14:textId="77777777" w:rsidR="00C902EC" w:rsidRPr="00C902EC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4 for codebook type I single panel in FR1 in the case of a single active CSI-resource across all ccs</w:t>
      </w:r>
      <w:r w:rsidRPr="00C902EC">
        <w:rPr>
          <w:rFonts w:ascii="Arial" w:hAnsi="Arial" w:cs="Arial" w:hint="eastAsia"/>
          <w:i/>
          <w:sz w:val="18"/>
          <w:szCs w:val="18"/>
        </w:rPr>
        <w:t>;</w:t>
      </w:r>
    </w:p>
    <w:p w14:paraId="05E68DB6" w14:textId="77777777" w:rsidR="00C902EC" w:rsidRPr="00C902EC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</w:rPr>
      </w:pPr>
      <w:r w:rsidRPr="00C902EC">
        <w:rPr>
          <w:rFonts w:ascii="Arial" w:hAnsi="Arial" w:cs="Arial"/>
          <w:i/>
          <w:sz w:val="18"/>
          <w:szCs w:val="18"/>
        </w:rPr>
        <w:tab/>
        <w:t>a UE shall support a minimum value of 8 in case of wideband CSI report for codebook type I single panel in FR1 in the case of a single active CSI-resource across all ccs;</w:t>
      </w:r>
    </w:p>
    <w:p w14:paraId="78D739B5" w14:textId="77777777" w:rsidR="00C902EC" w:rsidRPr="00C902EC" w:rsidRDefault="00C902EC" w:rsidP="00C902EC">
      <w:pPr>
        <w:pStyle w:val="BodyText"/>
        <w:ind w:leftChars="200" w:left="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2 for codebook type I single panel in FR2 in the case of a single active CSI-resource across all ccs.</w:t>
      </w:r>
    </w:p>
    <w:p w14:paraId="73CDD69A" w14:textId="77777777" w:rsidR="00CB5248" w:rsidRDefault="00C902EC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lastRenderedPageBreak/>
        <w:t>And Qualcomm commented below:</w:t>
      </w:r>
    </w:p>
    <w:p w14:paraId="3AAEC9E8" w14:textId="77777777" w:rsidR="00C902EC" w:rsidRPr="00C902EC" w:rsidRDefault="00C902EC" w:rsidP="00C902EC">
      <w:pPr>
        <w:rPr>
          <w:rFonts w:ascii="Yu Gothic" w:eastAsia="Yu Gothic" w:hAnsi="Yu Gothic"/>
          <w:i/>
          <w:u w:val="single"/>
        </w:rPr>
      </w:pPr>
      <w:r w:rsidRPr="00C902EC">
        <w:rPr>
          <w:rFonts w:ascii="Yu Gothic" w:eastAsia="Yu Gothic" w:hAnsi="Yu Gothic" w:hint="eastAsia"/>
          <w:i/>
          <w:u w:val="single"/>
        </w:rPr>
        <w:t>Release-15 CR:</w:t>
      </w:r>
    </w:p>
    <w:p w14:paraId="5E849BC7" w14:textId="77777777" w:rsidR="00C902EC" w:rsidRPr="00C902EC" w:rsidRDefault="00C902EC" w:rsidP="00C902EC">
      <w:pPr>
        <w:pStyle w:val="BodyText"/>
        <w:rPr>
          <w:rFonts w:ascii="Arial" w:eastAsia="SimSun" w:hAnsi="Arial" w:cs="Arial"/>
          <w:i/>
        </w:rPr>
      </w:pPr>
      <w:r w:rsidRPr="00C902EC">
        <w:rPr>
          <w:rFonts w:ascii="Arial" w:eastAsia="SimSun" w:hAnsi="Arial" w:cs="Arial" w:hint="eastAsia"/>
          <w:i/>
        </w:rPr>
        <w:t xml:space="preserve">We understand </w:t>
      </w:r>
      <w:r w:rsidRPr="00C902EC">
        <w:rPr>
          <w:rFonts w:ascii="Arial" w:eastAsia="SimSun" w:hAnsi="Arial" w:cs="Arial" w:hint="eastAsia"/>
          <w:i/>
        </w:rPr>
        <w:t>“</w:t>
      </w:r>
      <w:r w:rsidRPr="00C902EC">
        <w:rPr>
          <w:rFonts w:ascii="Arial" w:eastAsia="SimSun" w:hAnsi="Arial" w:cs="Arial" w:hint="eastAsia"/>
          <w:i/>
        </w:rPr>
        <w:t>across all CCs</w:t>
      </w:r>
      <w:r w:rsidRPr="00C902EC">
        <w:rPr>
          <w:rFonts w:ascii="Arial" w:eastAsia="SimSun" w:hAnsi="Arial" w:cs="Arial" w:hint="eastAsia"/>
          <w:i/>
        </w:rPr>
        <w:t>”</w:t>
      </w:r>
      <w:r w:rsidRPr="00C902EC">
        <w:rPr>
          <w:rFonts w:ascii="Arial" w:eastAsia="SimSun" w:hAnsi="Arial" w:cs="Arial" w:hint="eastAsia"/>
          <w:i/>
        </w:rPr>
        <w:t xml:space="preserve"> in the added text means across all configured CCs within the configured band combination in case of CA. The confusion comes from the fact that the UE capability parameter maxNumberTxPortsPerResource is a per-band UE capability and </w:t>
      </w:r>
      <w:r w:rsidRPr="00C902EC">
        <w:rPr>
          <w:rFonts w:ascii="Arial" w:eastAsia="SimSun" w:hAnsi="Arial" w:cs="Arial" w:hint="eastAsia"/>
          <w:i/>
        </w:rPr>
        <w:t>“</w:t>
      </w:r>
      <w:r w:rsidRPr="00C902EC">
        <w:rPr>
          <w:rFonts w:ascii="Arial" w:eastAsia="SimSun" w:hAnsi="Arial" w:cs="Arial" w:hint="eastAsia"/>
          <w:i/>
        </w:rPr>
        <w:t>across all CCs</w:t>
      </w:r>
      <w:r w:rsidRPr="00C902EC">
        <w:rPr>
          <w:rFonts w:ascii="Arial" w:eastAsia="SimSun" w:hAnsi="Arial" w:cs="Arial" w:hint="eastAsia"/>
          <w:i/>
        </w:rPr>
        <w:t>”</w:t>
      </w:r>
      <w:r w:rsidRPr="00C902EC">
        <w:rPr>
          <w:rFonts w:ascii="Arial" w:eastAsia="SimSun" w:hAnsi="Arial" w:cs="Arial" w:hint="eastAsia"/>
          <w:i/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C902EC" w:rsidRDefault="00C902EC" w:rsidP="00C902EC">
      <w:pPr>
        <w:pStyle w:val="BodyText"/>
        <w:rPr>
          <w:rFonts w:ascii="Arial" w:eastAsia="SimSun" w:hAnsi="Arial" w:cs="Arial"/>
          <w:i/>
        </w:rPr>
      </w:pPr>
    </w:p>
    <w:p w14:paraId="1092F9EF" w14:textId="77777777" w:rsidR="00C902EC" w:rsidRDefault="00C902EC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To address Qualcomm’s comment, the moderator </w:t>
      </w:r>
      <w:r w:rsidR="005F633B">
        <w:rPr>
          <w:rFonts w:ascii="Arial" w:eastAsia="SimSun" w:hAnsi="Arial" w:cs="Arial"/>
        </w:rPr>
        <w:t>suggests</w:t>
      </w:r>
      <w:r>
        <w:rPr>
          <w:rFonts w:ascii="Arial" w:eastAsia="SimSun" w:hAnsi="Arial" w:cs="Arial"/>
        </w:rPr>
        <w:t xml:space="preserve"> the wording as below</w:t>
      </w:r>
      <w:r w:rsidR="005F633B">
        <w:rPr>
          <w:rFonts w:ascii="Arial" w:eastAsia="SimSun" w:hAnsi="Arial" w:cs="Arial"/>
        </w:rPr>
        <w:t>.</w:t>
      </w:r>
    </w:p>
    <w:p w14:paraId="718AEF55" w14:textId="77777777" w:rsidR="00C902EC" w:rsidRPr="005F633B" w:rsidRDefault="005F633B" w:rsidP="003017D8">
      <w:pPr>
        <w:pStyle w:val="BodyText"/>
        <w:rPr>
          <w:rFonts w:ascii="Arial" w:eastAsia="SimSun" w:hAnsi="Arial" w:cs="Arial"/>
          <w:i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14:paraId="7A0C81D7" w14:textId="77777777" w:rsidR="001D0065" w:rsidRPr="00871E60" w:rsidRDefault="00871E60" w:rsidP="0074681A">
      <w:pPr>
        <w:pStyle w:val="BodyText"/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</w:rPr>
        <w:t xml:space="preserve">Q1: Do companies agree with the proposal </w:t>
      </w:r>
      <w:r w:rsidR="005F633B">
        <w:rPr>
          <w:rFonts w:ascii="Arial" w:eastAsia="SimSun" w:hAnsi="Arial" w:cs="Arial"/>
        </w:rPr>
        <w:t>updated from the moderator</w:t>
      </w:r>
      <w:r w:rsidRPr="00871E60">
        <w:rPr>
          <w:rFonts w:ascii="Arial" w:eastAsia="SimSun" w:hAnsi="Arial" w:cs="Arial"/>
        </w:rPr>
        <w:t>?</w:t>
      </w:r>
      <w:r w:rsidR="005F633B">
        <w:rPr>
          <w:rFonts w:ascii="Arial" w:eastAsia="SimSun" w:hAnsi="Arial" w:cs="Arial"/>
        </w:rPr>
        <w:t xml:space="preserve"> 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Y</w:t>
            </w:r>
            <w:r w:rsidRPr="000628A1">
              <w:rPr>
                <w:rFonts w:ascii="Arial" w:eastAsia="SimSun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Default="00860860" w:rsidP="00D90B30">
            <w:pPr>
              <w:rPr>
                <w:ins w:id="4" w:author="Author"/>
                <w:rFonts w:ascii="Arial" w:hAnsi="Arial" w:cs="Arial"/>
              </w:rPr>
            </w:pPr>
            <w:ins w:id="5" w:author="Author">
              <w:r>
                <w:rPr>
                  <w:rFonts w:ascii="Arial" w:hAnsi="Arial" w:cs="Arial" w:hint="eastAsia"/>
                </w:rPr>
                <w:t xml:space="preserve">Not sure if </w:t>
              </w:r>
              <w:r>
                <w:rPr>
                  <w:rFonts w:ascii="Arial" w:hAnsi="Arial" w:cs="Arial"/>
                </w:rPr>
                <w:t>“within a cell group” can express the intended configuration. Instead, the following wording is precise.</w:t>
              </w:r>
            </w:ins>
          </w:p>
          <w:p w14:paraId="073A2211" w14:textId="77777777"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Author">
              <w:r>
                <w:rPr>
                  <w:rFonts w:ascii="Arial" w:hAnsi="Arial" w:cs="Arial"/>
                </w:rPr>
                <w:t xml:space="preserve">“in the case where </w:t>
              </w:r>
              <w:r w:rsidR="00AD6384">
                <w:rPr>
                  <w:rFonts w:ascii="Arial" w:hAnsi="Arial" w:cs="Arial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7" w:author="Auth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8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/>
              </w:rPr>
            </w:pPr>
            <w:ins w:id="9" w:author="Author">
              <w:r>
                <w:rPr>
                  <w:rFonts w:ascii="Arial" w:hAnsi="Arial" w:cs="Arial" w:hint="eastAsia"/>
                </w:rPr>
                <w:t xml:space="preserve">Qualcomm </w:t>
              </w:r>
              <w:r>
                <w:rPr>
                  <w:rFonts w:ascii="Arial" w:hAnsi="Arial" w:cs="Arial"/>
                </w:rPr>
                <w:t>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ins w:id="10" w:author="Auth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Default="001C284B" w:rsidP="00D90B30">
            <w:pPr>
              <w:rPr>
                <w:ins w:id="11" w:author="Author"/>
                <w:rFonts w:ascii="Arial" w:hAnsi="Arial" w:cs="Arial"/>
              </w:rPr>
            </w:pPr>
            <w:ins w:id="12" w:author="Author">
              <w:r>
                <w:rPr>
                  <w:rFonts w:ascii="Arial" w:hAnsi="Arial" w:cs="Arial" w:hint="eastAsia"/>
                </w:rPr>
                <w:t>T</w:t>
              </w:r>
              <w:r>
                <w:rPr>
                  <w:rFonts w:ascii="Arial" w:hAnsi="Arial" w:cs="Arial"/>
                </w:rPr>
                <w:t>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871E60" w:rsidRDefault="001C284B" w:rsidP="00D90B30">
            <w:pPr>
              <w:rPr>
                <w:rFonts w:ascii="Arial" w:hAnsi="Arial" w:cs="Arial"/>
              </w:rPr>
            </w:pPr>
            <w:ins w:id="13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gree to DOCOMO’s suggestion above.</w:t>
              </w:r>
            </w:ins>
          </w:p>
        </w:tc>
      </w:tr>
      <w:tr w:rsidR="00BD6D5B" w:rsidRPr="00871E60" w14:paraId="75D79B9F" w14:textId="77777777" w:rsidTr="00D90B30">
        <w:tc>
          <w:tcPr>
            <w:tcW w:w="2122" w:type="dxa"/>
            <w:shd w:val="clear" w:color="auto" w:fill="auto"/>
          </w:tcPr>
          <w:p w14:paraId="4CE1DBAB" w14:textId="47785304" w:rsidR="00BD6D5B" w:rsidRPr="00871E60" w:rsidRDefault="00D85FAC" w:rsidP="00BD6D5B">
            <w:pPr>
              <w:rPr>
                <w:rFonts w:ascii="Arial" w:hAnsi="Arial" w:cs="Arial"/>
              </w:rPr>
            </w:pPr>
            <w:ins w:id="14" w:author="Auth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0FB4FCE6" w14:textId="50C3DEC6" w:rsidR="00BD6D5B" w:rsidRPr="00871E60" w:rsidRDefault="00D85FAC" w:rsidP="00BD6D5B">
            <w:pPr>
              <w:rPr>
                <w:rFonts w:ascii="Arial" w:hAnsi="Arial" w:cs="Arial"/>
              </w:rPr>
            </w:pPr>
            <w:ins w:id="15" w:author="Author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D56CBDD" w14:textId="4A2321E2" w:rsidR="00BD6D5B" w:rsidRPr="00871E60" w:rsidRDefault="00D85FAC" w:rsidP="004B2662">
            <w:pPr>
              <w:rPr>
                <w:rFonts w:ascii="Arial" w:hAnsi="Arial" w:cs="Arial"/>
              </w:rPr>
            </w:pPr>
            <w:ins w:id="16" w:author="Author">
              <w:r>
                <w:rPr>
                  <w:rFonts w:ascii="Arial" w:hAnsi="Arial" w:cs="Arial"/>
                </w:rPr>
                <w:t>Okay to follow Docomo’s suggestion to avoid ambiguity of whether single cell group v/s multiple cell groups are implied.</w:t>
              </w:r>
            </w:ins>
          </w:p>
        </w:tc>
      </w:tr>
      <w:tr w:rsidR="00BD6D5B" w:rsidRPr="00871E60" w14:paraId="01D3392B" w14:textId="77777777" w:rsidTr="00D90B30">
        <w:tc>
          <w:tcPr>
            <w:tcW w:w="2122" w:type="dxa"/>
            <w:shd w:val="clear" w:color="auto" w:fill="auto"/>
          </w:tcPr>
          <w:p w14:paraId="6B7A27C2" w14:textId="77777777" w:rsidR="00BD6D5B" w:rsidRPr="00871E60" w:rsidRDefault="00BD6D5B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8542733" w14:textId="77777777" w:rsidR="00BD6D5B" w:rsidRPr="00871E60" w:rsidRDefault="00BD6D5B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5F70B4C1" w14:textId="77777777" w:rsidR="00327AB5" w:rsidRPr="00871E60" w:rsidRDefault="00327AB5" w:rsidP="00BD6D5B">
            <w:pPr>
              <w:rPr>
                <w:rFonts w:ascii="Arial" w:eastAsia="SimSun" w:hAnsi="Arial" w:cs="Arial"/>
              </w:rPr>
            </w:pPr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</w:tr>
      <w:tr w:rsidR="00EA7F1C" w:rsidRPr="00871E60" w14:paraId="76F13634" w14:textId="77777777" w:rsidTr="00D90B30">
        <w:tc>
          <w:tcPr>
            <w:tcW w:w="2122" w:type="dxa"/>
            <w:shd w:val="clear" w:color="auto" w:fill="auto"/>
          </w:tcPr>
          <w:p w14:paraId="40090669" w14:textId="77777777" w:rsidR="00EA7F1C" w:rsidRPr="00871E60" w:rsidRDefault="00EA7F1C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547CEA0" w14:textId="77777777" w:rsidR="00EA7F1C" w:rsidRPr="00871E60" w:rsidRDefault="00EA7F1C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1ECE99DB" w14:textId="77777777" w:rsidR="00EA7F1C" w:rsidRPr="00871E60" w:rsidRDefault="00EA7F1C" w:rsidP="00EA7F1C">
            <w:pPr>
              <w:rPr>
                <w:rFonts w:ascii="Arial" w:eastAsia="SimSun" w:hAnsi="Arial" w:cs="Arial"/>
              </w:rPr>
            </w:pPr>
          </w:p>
        </w:tc>
      </w:tr>
    </w:tbl>
    <w:p w14:paraId="1EB96C51" w14:textId="77777777" w:rsidR="0074681A" w:rsidRDefault="0074681A" w:rsidP="0074681A">
      <w:pPr>
        <w:pStyle w:val="BodyText"/>
        <w:rPr>
          <w:rFonts w:ascii="Arial" w:hAnsi="Arial" w:cs="Arial"/>
        </w:rPr>
      </w:pPr>
    </w:p>
    <w:p w14:paraId="4A7D29FB" w14:textId="77777777" w:rsidR="005F633B" w:rsidRPr="0037658A" w:rsidRDefault="005F633B" w:rsidP="0074681A">
      <w:pPr>
        <w:pStyle w:val="BodyText"/>
        <w:rPr>
          <w:rFonts w:ascii="Arial" w:eastAsia="SimSun" w:hAnsi="Arial" w:cs="Arial"/>
        </w:rPr>
      </w:pPr>
      <w:r w:rsidRPr="0037658A">
        <w:rPr>
          <w:rFonts w:ascii="Arial" w:eastAsia="SimSun" w:hAnsi="Arial" w:cs="Arial"/>
        </w:rPr>
        <w:lastRenderedPageBreak/>
        <w:t>In the discussion, Qualcomm also raised a comment as below:</w:t>
      </w:r>
    </w:p>
    <w:p w14:paraId="3EC051C2" w14:textId="77777777" w:rsidR="005F633B" w:rsidRPr="0037658A" w:rsidRDefault="005F633B" w:rsidP="005F633B">
      <w:pPr>
        <w:pStyle w:val="BodyText"/>
        <w:rPr>
          <w:rFonts w:ascii="Arial" w:eastAsia="SimSun" w:hAnsi="Arial" w:cs="Arial"/>
          <w:i/>
        </w:rPr>
      </w:pPr>
      <w:r w:rsidRPr="0037658A">
        <w:rPr>
          <w:rFonts w:ascii="Arial" w:eastAsia="SimSun" w:hAnsi="Arial" w:cs="Arial" w:hint="eastAsia"/>
          <w:i/>
        </w:rPr>
        <w:t xml:space="preserve">It looks better to decouple the minimum requirement from the specific UE capability parameter maxNumberTxPortsPerResource. The text can be something like </w:t>
      </w:r>
      <w:r w:rsidRPr="0037658A">
        <w:rPr>
          <w:rFonts w:ascii="Arial" w:eastAsia="SimSun" w:hAnsi="Arial" w:cs="Arial" w:hint="eastAsia"/>
          <w:i/>
        </w:rPr>
        <w:t>“</w:t>
      </w:r>
      <w:r w:rsidRPr="0037658A">
        <w:rPr>
          <w:rFonts w:ascii="Arial" w:eastAsia="SimSun" w:hAnsi="Arial" w:cs="Arial" w:hint="eastAsia"/>
          <w:i/>
        </w:rPr>
        <w:t>across all CCs within MCG, and SCG in case of NR-DC</w:t>
      </w:r>
      <w:r w:rsidRPr="0037658A">
        <w:rPr>
          <w:rFonts w:ascii="Arial" w:eastAsia="SimSun" w:hAnsi="Arial" w:cs="Arial" w:hint="eastAsia"/>
          <w:i/>
        </w:rPr>
        <w:t>”</w:t>
      </w:r>
      <w:r w:rsidRPr="0037658A">
        <w:rPr>
          <w:rFonts w:ascii="Arial" w:eastAsia="SimSun" w:hAnsi="Arial" w:cs="Arial" w:hint="eastAsia"/>
          <w:i/>
        </w:rPr>
        <w:t>.</w:t>
      </w:r>
    </w:p>
    <w:p w14:paraId="730D5591" w14:textId="77777777" w:rsidR="005F633B" w:rsidRPr="0037658A" w:rsidRDefault="005F633B" w:rsidP="0074681A">
      <w:pPr>
        <w:pStyle w:val="BodyText"/>
        <w:rPr>
          <w:rFonts w:ascii="Arial" w:eastAsia="SimSun" w:hAnsi="Arial" w:cs="Arial"/>
        </w:rPr>
      </w:pPr>
      <w:r w:rsidRPr="0037658A">
        <w:rPr>
          <w:rFonts w:ascii="Arial" w:eastAsia="SimSun" w:hAnsi="Arial" w:cs="Arial"/>
        </w:rPr>
        <w:t xml:space="preserve">To address Qualcomm’s comment, the moderator suggests to move the clarification under </w:t>
      </w:r>
      <w:r w:rsidRPr="0037658A">
        <w:rPr>
          <w:rFonts w:ascii="Arial" w:eastAsia="SimSun" w:hAnsi="Arial" w:cs="Arial"/>
          <w:i/>
        </w:rPr>
        <w:t>supportedCSI-RS-ResourceList</w:t>
      </w:r>
      <w:r w:rsidRPr="0037658A">
        <w:rPr>
          <w:rFonts w:ascii="Arial" w:eastAsia="SimSun" w:hAnsi="Arial" w:cs="Arial"/>
        </w:rPr>
        <w:t xml:space="preserve"> for codebook capabilities.</w:t>
      </w:r>
    </w:p>
    <w:p w14:paraId="61989090" w14:textId="77777777" w:rsidR="00871E60" w:rsidRPr="00871E60" w:rsidRDefault="00871E60" w:rsidP="00871E60">
      <w:pPr>
        <w:pStyle w:val="BodyText"/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</w:rPr>
        <w:t xml:space="preserve">Q2: Do companies </w:t>
      </w:r>
      <w:r w:rsidR="005F633B">
        <w:rPr>
          <w:rFonts w:ascii="Arial" w:eastAsia="SimSun" w:hAnsi="Arial" w:cs="Arial"/>
        </w:rPr>
        <w:t>agree the proposal above by the moderator</w:t>
      </w:r>
      <w:r w:rsidRPr="00871E60">
        <w:rPr>
          <w:rFonts w:ascii="Arial" w:eastAsia="SimSun" w:hAnsi="Arial" w:cs="Arial"/>
        </w:rPr>
        <w:t>?</w:t>
      </w:r>
      <w:r w:rsidR="005F633B">
        <w:rPr>
          <w:rFonts w:ascii="Arial" w:eastAsia="SimSun" w:hAnsi="Arial" w:cs="Arial"/>
        </w:rPr>
        <w:t xml:space="preserve"> If not, please indicate clearly which place you p</w:t>
      </w:r>
      <w:r w:rsidR="002F788A">
        <w:rPr>
          <w:rFonts w:ascii="Arial" w:eastAsia="SimSun" w:hAnsi="Arial" w:cs="Arial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W</w:t>
            </w:r>
            <w:r w:rsidRPr="000628A1">
              <w:rPr>
                <w:rFonts w:ascii="Arial" w:eastAsia="SimSun" w:hAnsi="Arial" w:cs="Arial"/>
                <w:szCs w:val="24"/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871E60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7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8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9" w:author="Author">
              <w:r>
                <w:rPr>
                  <w:rFonts w:ascii="Arial" w:hAnsi="Arial" w:cs="Arial" w:hint="eastAsia"/>
                </w:rPr>
                <w:t xml:space="preserve">See </w:t>
              </w:r>
              <w:r>
                <w:rPr>
                  <w:rFonts w:ascii="Arial" w:hAnsi="Arial" w:cs="Arial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hAnsi="Arial" w:cs="Arial"/>
                </w:rPr>
                <w:t>other active CSI resources in the other band in a band combination.</w:t>
              </w:r>
            </w:ins>
          </w:p>
        </w:tc>
      </w:tr>
      <w:tr w:rsidR="00871E60" w:rsidRPr="00871E60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0" w:author="Auth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1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2" w:author="Author">
              <w:r>
                <w:rPr>
                  <w:rFonts w:ascii="Arial" w:hAnsi="Arial" w:cs="Arial"/>
                </w:rPr>
                <w:t>Same view as the HUAWEI.</w:t>
              </w:r>
            </w:ins>
          </w:p>
        </w:tc>
      </w:tr>
      <w:tr w:rsidR="00871E60" w:rsidRPr="00871E60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ins w:id="23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ins w:id="24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871E60" w:rsidRDefault="001C284B" w:rsidP="000B07E0">
            <w:pPr>
              <w:rPr>
                <w:rFonts w:ascii="Arial" w:hAnsi="Arial" w:cs="Arial"/>
              </w:rPr>
            </w:pPr>
            <w:ins w:id="25" w:author="Author">
              <w:r>
                <w:rPr>
                  <w:rFonts w:ascii="Arial" w:hAnsi="Arial" w:cs="Arial"/>
                </w:rPr>
                <w:t xml:space="preserve">Resolution of Q1 is more important. </w:t>
              </w:r>
              <w:r>
                <w:rPr>
                  <w:rFonts w:ascii="Arial" w:hAnsi="Arial" w:cs="Arial" w:hint="eastAsia"/>
                </w:rPr>
                <w:t>P</w:t>
              </w:r>
              <w:r>
                <w:rPr>
                  <w:rFonts w:ascii="Arial" w:hAnsi="Arial" w:cs="Arial"/>
                </w:rPr>
                <w:t>lacement of the minimum requirement is secondary issue.</w:t>
              </w:r>
            </w:ins>
          </w:p>
        </w:tc>
      </w:tr>
      <w:tr w:rsidR="00871E60" w:rsidRPr="00871E60" w14:paraId="6123F98A" w14:textId="77777777" w:rsidTr="000B07E0">
        <w:tc>
          <w:tcPr>
            <w:tcW w:w="2122" w:type="dxa"/>
            <w:shd w:val="clear" w:color="auto" w:fill="auto"/>
          </w:tcPr>
          <w:p w14:paraId="186AA941" w14:textId="36604B3B" w:rsidR="00871E60" w:rsidRPr="00871E60" w:rsidRDefault="00D85FAC" w:rsidP="000B07E0">
            <w:pPr>
              <w:rPr>
                <w:rFonts w:ascii="Arial" w:hAnsi="Arial" w:cs="Arial"/>
              </w:rPr>
            </w:pPr>
            <w:ins w:id="26" w:author="Auth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4EEBD39E" w14:textId="465BBD34" w:rsidR="00871E60" w:rsidRPr="00871E60" w:rsidRDefault="00D85FAC" w:rsidP="000B07E0">
            <w:pPr>
              <w:rPr>
                <w:rFonts w:ascii="Arial" w:hAnsi="Arial" w:cs="Arial"/>
              </w:rPr>
            </w:pPr>
            <w:ins w:id="27" w:author="Author">
              <w:r>
                <w:rPr>
                  <w:rFonts w:ascii="Arial" w:hAnsi="Arial" w:cs="Arial"/>
                </w:rPr>
                <w:t>No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4822264B" w14:textId="68BBB371" w:rsidR="00871E60" w:rsidRPr="00871E60" w:rsidRDefault="00D85FAC" w:rsidP="000B07E0">
            <w:pPr>
              <w:rPr>
                <w:rFonts w:ascii="Arial" w:hAnsi="Arial" w:cs="Arial"/>
              </w:rPr>
            </w:pPr>
            <w:ins w:id="28" w:author="Author">
              <w:r>
                <w:rPr>
                  <w:rFonts w:ascii="Arial" w:hAnsi="Arial" w:cs="Arial"/>
                </w:rPr>
                <w:t>It is important to have the right alignment of what is the minimum requirement from TR 38.822.</w:t>
              </w:r>
            </w:ins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DA5954D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0053190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3A2248A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BodyText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Heading3"/>
        <w:rPr>
          <w:rFonts w:eastAsia="SimSun" w:cs="Arial"/>
          <w:lang w:val="en-US" w:eastAsia="zh-CN"/>
        </w:rPr>
      </w:pPr>
      <w:r w:rsidRPr="00871E60">
        <w:rPr>
          <w:rFonts w:eastAsia="SimSun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Default="005F633B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provides two alternatives in the draft folder. </w:t>
      </w:r>
    </w:p>
    <w:p w14:paraId="00BE4AB3" w14:textId="77777777" w:rsidR="005F633B" w:rsidRDefault="005F633B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Alt1: to clarify the </w:t>
      </w:r>
      <w:r w:rsidR="00B43CEA">
        <w:rPr>
          <w:rFonts w:ascii="Arial" w:hAnsi="Arial" w:cs="Arial"/>
          <w:noProof/>
        </w:rPr>
        <w:t>definition of the limit for reported values for 2-36.</w:t>
      </w:r>
    </w:p>
    <w:p w14:paraId="1F445EEA" w14:textId="77777777" w:rsidR="00B43CEA" w:rsidRDefault="00B43CEA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Alt2: to simply inroduce the minimum requirement defined in 2-32.</w:t>
      </w:r>
    </w:p>
    <w:p w14:paraId="1CF9FF18" w14:textId="77777777" w:rsidR="00B43CEA" w:rsidRPr="00871E60" w:rsidRDefault="00B43CEA" w:rsidP="00B43CEA">
      <w:pPr>
        <w:pStyle w:val="BodyText"/>
        <w:rPr>
          <w:rFonts w:ascii="Arial" w:hAnsi="Arial" w:cs="Arial"/>
          <w:noProof/>
        </w:rPr>
      </w:pPr>
    </w:p>
    <w:p w14:paraId="3DBBF0A8" w14:textId="77777777" w:rsidR="007B788D" w:rsidRPr="00871E60" w:rsidRDefault="00871E60" w:rsidP="007B788D">
      <w:pPr>
        <w:pStyle w:val="BodyText"/>
        <w:rPr>
          <w:rFonts w:ascii="Arial" w:hAnsi="Arial" w:cs="Arial"/>
          <w:noProof/>
        </w:rPr>
      </w:pPr>
      <w:r w:rsidRPr="00871E60">
        <w:rPr>
          <w:rFonts w:ascii="Arial" w:hAnsi="Arial" w:cs="Arial"/>
          <w:noProof/>
        </w:rPr>
        <w:t xml:space="preserve">Q3: </w:t>
      </w:r>
      <w:r w:rsidR="00B43CEA">
        <w:rPr>
          <w:rFonts w:ascii="Arial" w:hAnsi="Arial" w:cs="Arial"/>
          <w:noProof/>
        </w:rPr>
        <w:t>which Alternative companies prefer</w:t>
      </w:r>
      <w:r w:rsidRPr="00871E60">
        <w:rPr>
          <w:rFonts w:ascii="Arial" w:hAnsi="Arial" w:cs="Arial"/>
          <w:noProof/>
        </w:rPr>
        <w:t xml:space="preserve">? 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1D5CE745" w14:textId="77777777" w:rsidTr="00871E60">
        <w:tc>
          <w:tcPr>
            <w:tcW w:w="1510" w:type="dxa"/>
            <w:shd w:val="clear" w:color="auto" w:fill="BFBFBF"/>
          </w:tcPr>
          <w:p w14:paraId="6E0C3050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64A655F6" w14:textId="77777777" w:rsidR="00871E60" w:rsidRPr="00871E60" w:rsidRDefault="00B43CEA" w:rsidP="002F37B6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C3CA398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14:paraId="26F983DA" w14:textId="77777777" w:rsidTr="00871E60">
        <w:tc>
          <w:tcPr>
            <w:tcW w:w="1510" w:type="dxa"/>
            <w:shd w:val="clear" w:color="auto" w:fill="auto"/>
          </w:tcPr>
          <w:p w14:paraId="10210EDF" w14:textId="77777777" w:rsidR="00BD7683" w:rsidRPr="000628A1" w:rsidRDefault="00BD7683" w:rsidP="00BD7683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lastRenderedPageBreak/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5F443B74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A</w:t>
            </w:r>
            <w:r w:rsidRPr="000628A1">
              <w:rPr>
                <w:rFonts w:ascii="Arial" w:eastAsia="SimSun" w:hAnsi="Arial" w:cs="Arial"/>
                <w:szCs w:val="24"/>
              </w:rPr>
              <w:t>lt 1</w:t>
            </w:r>
          </w:p>
        </w:tc>
        <w:tc>
          <w:tcPr>
            <w:tcW w:w="4615" w:type="dxa"/>
            <w:shd w:val="clear" w:color="auto" w:fill="auto"/>
          </w:tcPr>
          <w:p w14:paraId="57A9C50E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/>
                <w:szCs w:val="24"/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871E60" w14:paraId="7B9C86D0" w14:textId="77777777" w:rsidTr="00871E60">
        <w:tc>
          <w:tcPr>
            <w:tcW w:w="1510" w:type="dxa"/>
            <w:shd w:val="clear" w:color="auto" w:fill="auto"/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9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30" w:author="Author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4615" w:type="dxa"/>
            <w:shd w:val="clear" w:color="auto" w:fill="auto"/>
          </w:tcPr>
          <w:p w14:paraId="5D28A70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31" w:author="Author">
              <w:r>
                <w:rPr>
                  <w:rFonts w:ascii="Arial" w:hAnsi="Arial" w:cs="Arial" w:hint="eastAsia"/>
                </w:rPr>
                <w:t xml:space="preserve">We believe that </w:t>
              </w:r>
              <w:r>
                <w:rPr>
                  <w:rFonts w:ascii="Arial" w:hAnsi="Arial" w:cs="Arial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14:paraId="5E953891" w14:textId="77777777" w:rsidTr="00871E60">
        <w:tc>
          <w:tcPr>
            <w:tcW w:w="1510" w:type="dxa"/>
            <w:shd w:val="clear" w:color="auto" w:fill="auto"/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32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33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4615" w:type="dxa"/>
            <w:shd w:val="clear" w:color="auto" w:fill="auto"/>
          </w:tcPr>
          <w:p w14:paraId="2C9155CC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34" w:author="Author">
              <w:r w:rsidRPr="001A73CB">
                <w:rPr>
                  <w:rFonts w:ascii="Arial" w:hAnsi="Arial" w:cs="Arial"/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871E60">
        <w:tc>
          <w:tcPr>
            <w:tcW w:w="1510" w:type="dxa"/>
            <w:shd w:val="clear" w:color="auto" w:fill="auto"/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ins w:id="35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36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>, but</w:t>
              </w:r>
            </w:ins>
          </w:p>
        </w:tc>
        <w:tc>
          <w:tcPr>
            <w:tcW w:w="4615" w:type="dxa"/>
            <w:shd w:val="clear" w:color="auto" w:fill="auto"/>
          </w:tcPr>
          <w:p w14:paraId="4FC13D13" w14:textId="77777777" w:rsidR="00BD7683" w:rsidRDefault="00D94962" w:rsidP="00BD7683">
            <w:pPr>
              <w:rPr>
                <w:ins w:id="37" w:author="Author"/>
                <w:rFonts w:ascii="Arial" w:hAnsi="Arial" w:cs="Arial"/>
              </w:rPr>
            </w:pPr>
            <w:ins w:id="38" w:author="Author">
              <w:r>
                <w:rPr>
                  <w:rFonts w:ascii="Arial" w:hAnsi="Arial" w:cs="Arial"/>
                </w:rPr>
                <w:t>As already commented, there is difference between FG2-32 and 2-36.</w:t>
              </w:r>
            </w:ins>
          </w:p>
          <w:p w14:paraId="6B198457" w14:textId="65E1EC01" w:rsidR="00D94962" w:rsidRDefault="00D94962" w:rsidP="0067774F">
            <w:pPr>
              <w:pStyle w:val="ListParagraph"/>
              <w:numPr>
                <w:ilvl w:val="0"/>
                <w:numId w:val="45"/>
              </w:numPr>
              <w:ind w:leftChars="0"/>
              <w:rPr>
                <w:ins w:id="39" w:author="Author"/>
                <w:rFonts w:ascii="Arial" w:hAnsi="Arial" w:cs="Arial"/>
              </w:rPr>
            </w:pPr>
            <w:ins w:id="40" w:author="Author">
              <w:r>
                <w:rPr>
                  <w:rFonts w:ascii="Arial" w:hAnsi="Arial" w:cs="Arial"/>
                </w:rPr>
                <w:t>The minimum requirement 2-32 mandates 8 ports</w:t>
              </w:r>
              <w:r w:rsidR="00C726F9">
                <w:rPr>
                  <w:rFonts w:ascii="Arial" w:hAnsi="Arial" w:cs="Arial"/>
                </w:rPr>
                <w:t xml:space="preserve"> for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>FR1 only when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 xml:space="preserve">configured as </w:t>
              </w:r>
              <w:r>
                <w:rPr>
                  <w:rFonts w:ascii="Arial" w:hAnsi="Arial" w:cs="Arial"/>
                </w:rPr>
                <w:t>wideband</w:t>
              </w:r>
              <w:r w:rsidR="00C726F9">
                <w:rPr>
                  <w:rFonts w:ascii="Arial" w:hAnsi="Arial" w:cs="Arial"/>
                </w:rPr>
                <w:t xml:space="preserve"> CSI</w:t>
              </w:r>
              <w:r>
                <w:rPr>
                  <w:rFonts w:ascii="Arial" w:hAnsi="Arial" w:cs="Arial"/>
                </w:rPr>
                <w:t xml:space="preserve"> report</w:t>
              </w:r>
              <w:r w:rsidR="00C726F9">
                <w:rPr>
                  <w:rFonts w:ascii="Arial" w:hAnsi="Arial" w:cs="Arial"/>
                </w:rPr>
                <w:t>.</w:t>
              </w:r>
            </w:ins>
          </w:p>
          <w:p w14:paraId="4BEB43E8" w14:textId="6E9D6F6B" w:rsidR="00D94962" w:rsidRDefault="00D94962" w:rsidP="0067774F">
            <w:pPr>
              <w:pStyle w:val="ListParagraph"/>
              <w:numPr>
                <w:ilvl w:val="0"/>
                <w:numId w:val="45"/>
              </w:numPr>
              <w:ind w:leftChars="0"/>
              <w:rPr>
                <w:ins w:id="41" w:author="Author"/>
                <w:rFonts w:ascii="Arial" w:hAnsi="Arial" w:cs="Arial"/>
              </w:rPr>
            </w:pPr>
            <w:ins w:id="42" w:author="Author">
              <w:r>
                <w:rPr>
                  <w:rFonts w:ascii="Arial" w:hAnsi="Arial" w:cs="Arial"/>
                </w:rPr>
                <w:t xml:space="preserve">The UE capability signalling </w:t>
              </w:r>
              <w:r w:rsidR="00C726F9">
                <w:rPr>
                  <w:rFonts w:ascii="Arial" w:hAnsi="Arial" w:cs="Arial"/>
                </w:rPr>
                <w:t xml:space="preserve">defined for </w:t>
              </w:r>
              <w:r w:rsidRPr="0067774F">
                <w:rPr>
                  <w:rFonts w:ascii="Arial" w:hAnsi="Arial" w:cs="Arial"/>
                  <w:rPrChange w:id="43" w:author="Author">
                    <w:rPr/>
                  </w:rPrChange>
                </w:rPr>
                <w:t xml:space="preserve">2-36 </w:t>
              </w:r>
              <w:r>
                <w:rPr>
                  <w:rFonts w:ascii="Arial" w:hAnsi="Arial" w:cs="Arial"/>
                </w:rPr>
                <w:t xml:space="preserve">cannot differentiate between </w:t>
              </w:r>
              <w:r w:rsidRPr="0067774F">
                <w:rPr>
                  <w:rFonts w:ascii="Arial" w:hAnsi="Arial" w:cs="Arial"/>
                  <w:rPrChange w:id="44" w:author="Author">
                    <w:rPr/>
                  </w:rPrChange>
                </w:rPr>
                <w:t xml:space="preserve">subband </w:t>
              </w:r>
              <w:r>
                <w:rPr>
                  <w:rFonts w:ascii="Arial" w:hAnsi="Arial" w:cs="Arial"/>
                </w:rPr>
                <w:t xml:space="preserve">and wideband </w:t>
              </w:r>
              <w:r w:rsidRPr="0067774F">
                <w:rPr>
                  <w:rFonts w:ascii="Arial" w:hAnsi="Arial" w:cs="Arial"/>
                  <w:rPrChange w:id="45" w:author="Author">
                    <w:rPr/>
                  </w:rPrChange>
                </w:rPr>
                <w:t>reporting.</w:t>
              </w:r>
            </w:ins>
          </w:p>
          <w:p w14:paraId="22695D32" w14:textId="3C46D572" w:rsidR="00D94962" w:rsidRPr="00F865E3" w:rsidRDefault="00C726F9">
            <w:pPr>
              <w:rPr>
                <w:rFonts w:ascii="Arial" w:hAnsi="Arial" w:cs="Arial"/>
              </w:rPr>
            </w:pPr>
            <w:ins w:id="46" w:author="Author">
              <w:r>
                <w:rPr>
                  <w:rFonts w:ascii="Arial" w:hAnsi="Arial" w:cs="Arial"/>
                </w:rPr>
                <w:t>This means that Alt.1 results in mandating more than the minimum requirement as defined by 2-32. RAN2 should confirm this understanding in making agreement.</w:t>
              </w:r>
            </w:ins>
          </w:p>
        </w:tc>
      </w:tr>
      <w:tr w:rsidR="00BD7683" w:rsidRPr="00871E60" w14:paraId="2DA4083E" w14:textId="77777777" w:rsidTr="00871E60">
        <w:tc>
          <w:tcPr>
            <w:tcW w:w="1510" w:type="dxa"/>
            <w:shd w:val="clear" w:color="auto" w:fill="auto"/>
          </w:tcPr>
          <w:p w14:paraId="25998F6B" w14:textId="624FAD62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47" w:author="Auth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0F1FD1F8" w14:textId="7E0F30FA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48" w:author="Author">
              <w:r>
                <w:rPr>
                  <w:rFonts w:ascii="Arial" w:eastAsia="SimSun" w:hAnsi="Arial" w:cs="Arial"/>
                </w:rPr>
                <w:t>Alt 2</w:t>
              </w:r>
            </w:ins>
          </w:p>
        </w:tc>
        <w:tc>
          <w:tcPr>
            <w:tcW w:w="4615" w:type="dxa"/>
            <w:shd w:val="clear" w:color="auto" w:fill="auto"/>
          </w:tcPr>
          <w:p w14:paraId="74F24887" w14:textId="696735E3" w:rsidR="00BD7683" w:rsidRDefault="00D85FAC" w:rsidP="00BD7683">
            <w:pPr>
              <w:keepNext/>
              <w:keepLines/>
              <w:rPr>
                <w:ins w:id="49" w:author="Author"/>
                <w:rFonts w:ascii="Arial" w:eastAsia="SimSun" w:hAnsi="Arial" w:cs="Arial"/>
              </w:rPr>
            </w:pPr>
            <w:ins w:id="50" w:author="Author">
              <w:r>
                <w:rPr>
                  <w:rFonts w:ascii="Arial" w:eastAsia="SimSun" w:hAnsi="Arial" w:cs="Arial"/>
                </w:rPr>
                <w:t xml:space="preserve">Agree with Docomo. </w:t>
              </w:r>
              <w:r w:rsidRPr="00D85FAC">
                <w:rPr>
                  <w:rFonts w:ascii="Arial" w:eastAsia="SimSun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SimSun" w:hAnsi="Arial" w:cs="Arial"/>
                </w:rPr>
                <w:t>Tx</w:t>
              </w:r>
              <w:r w:rsidRPr="00D85FAC">
                <w:rPr>
                  <w:rFonts w:ascii="Arial" w:eastAsia="SimSun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SimSun" w:hAnsi="Arial" w:cs="Arial"/>
                </w:rPr>
                <w:t xml:space="preserve">from Rel-16 </w:t>
              </w:r>
              <w:r w:rsidRPr="00D85FAC">
                <w:rPr>
                  <w:rFonts w:ascii="Arial" w:eastAsia="SimSun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SimSun" w:hAnsi="Arial" w:cs="Arial"/>
                </w:rPr>
                <w:t>. We guess this is the main aspect for the discussion. We have a proposal to capture this</w:t>
              </w:r>
              <w:r w:rsidR="00F865E3">
                <w:rPr>
                  <w:rFonts w:ascii="Arial" w:eastAsia="SimSun" w:hAnsi="Arial" w:cs="Arial"/>
                </w:rPr>
                <w:t xml:space="preserve"> which would still be aligned with Rel-15 but allows a UE to match the sub-band to the wide-band reporting</w:t>
              </w:r>
              <w:r>
                <w:rPr>
                  <w:rFonts w:ascii="Arial" w:eastAsia="SimSun" w:hAnsi="Arial" w:cs="Arial"/>
                </w:rPr>
                <w:t>:</w:t>
              </w:r>
            </w:ins>
          </w:p>
          <w:p w14:paraId="52C6BF41" w14:textId="0CFB42E9" w:rsidR="00D85FAC" w:rsidRPr="00871E60" w:rsidRDefault="00D85FAC" w:rsidP="00BD7683">
            <w:pPr>
              <w:keepNext/>
              <w:keepLines/>
              <w:rPr>
                <w:rFonts w:ascii="Arial" w:eastAsia="SimSun" w:hAnsi="Arial" w:cs="Arial"/>
              </w:rPr>
            </w:pPr>
            <w:ins w:id="51" w:author="Author">
              <w:r>
                <w:rPr>
                  <w:rFonts w:ascii="Arial" w:eastAsia="SimSun" w:hAnsi="Arial" w:cs="Arial"/>
                </w:rPr>
                <w:t xml:space="preserve">- </w:t>
              </w:r>
              <w:r w:rsidRPr="00D85FAC">
                <w:rPr>
                  <w:rFonts w:ascii="Arial" w:eastAsia="SimSun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 w:rsidR="00F865E3">
                <w:rPr>
                  <w:rFonts w:ascii="Arial" w:eastAsia="SimSun" w:hAnsi="Arial" w:cs="Arial"/>
                </w:rPr>
                <w:t>.</w:t>
              </w:r>
            </w:ins>
          </w:p>
        </w:tc>
      </w:tr>
      <w:tr w:rsidR="00BD7683" w:rsidRPr="00871E60" w14:paraId="09133F4D" w14:textId="77777777" w:rsidTr="00871E60">
        <w:tc>
          <w:tcPr>
            <w:tcW w:w="1510" w:type="dxa"/>
            <w:shd w:val="clear" w:color="auto" w:fill="auto"/>
          </w:tcPr>
          <w:p w14:paraId="08DCEE05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1EA3F1D6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281652E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BD7683" w:rsidRPr="00871E60" w14:paraId="1E96522E" w14:textId="77777777" w:rsidTr="00871E60">
        <w:tc>
          <w:tcPr>
            <w:tcW w:w="1510" w:type="dxa"/>
            <w:shd w:val="clear" w:color="auto" w:fill="auto"/>
          </w:tcPr>
          <w:p w14:paraId="4270192E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6182D9FE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07DB76DF" w14:textId="77777777" w:rsidR="007150E3" w:rsidRDefault="007150E3" w:rsidP="001D329D">
      <w:pPr>
        <w:rPr>
          <w:rFonts w:ascii="Arial" w:eastAsia="SimSun" w:hAnsi="Arial" w:cs="Arial"/>
        </w:rPr>
      </w:pPr>
    </w:p>
    <w:p w14:paraId="096BF96B" w14:textId="77777777" w:rsidR="002F788A" w:rsidRPr="002F788A" w:rsidRDefault="002F788A" w:rsidP="002F788A">
      <w:pPr>
        <w:pStyle w:val="BodyText"/>
        <w:rPr>
          <w:rFonts w:ascii="Arial" w:hAnsi="Arial" w:cs="Arial"/>
          <w:noProof/>
        </w:rPr>
      </w:pPr>
      <w:r w:rsidRPr="002F788A">
        <w:rPr>
          <w:rFonts w:ascii="Arial" w:hAnsi="Arial" w:cs="Arial"/>
          <w:noProof/>
        </w:rPr>
        <w:t>Q4: Do companies agree the wording for your preferred alternative?</w:t>
      </w:r>
      <w:r>
        <w:rPr>
          <w:rFonts w:ascii="Arial" w:hAnsi="Arial" w:cs="Arial"/>
          <w:noProof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52" w:author="Author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53" w:author="Author">
              <w:r>
                <w:rPr>
                  <w:rFonts w:ascii="Arial" w:hAnsi="Arial" w:cs="Arial" w:hint="eastAsia"/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54" w:author="Author">
              <w:r>
                <w:rPr>
                  <w:rFonts w:ascii="Arial" w:hAnsi="Arial" w:cs="Arial" w:hint="eastAsia"/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55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56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ins w:id="57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871E60" w:rsidRDefault="0067774F" w:rsidP="0037658A">
            <w:pPr>
              <w:rPr>
                <w:rFonts w:ascii="Arial" w:hAnsi="Arial" w:cs="Arial"/>
              </w:rPr>
            </w:pPr>
            <w:ins w:id="58" w:author="Auth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ot sure which wording this question is referring to. See our input to Q1.</w:t>
              </w:r>
            </w:ins>
          </w:p>
        </w:tc>
      </w:tr>
      <w:tr w:rsidR="002F788A" w:rsidRPr="00871E60" w14:paraId="4B47BBB6" w14:textId="77777777" w:rsidTr="0037658A">
        <w:tc>
          <w:tcPr>
            <w:tcW w:w="1510" w:type="dxa"/>
            <w:shd w:val="clear" w:color="auto" w:fill="auto"/>
          </w:tcPr>
          <w:p w14:paraId="1748BEC5" w14:textId="6E225A51" w:rsidR="002F788A" w:rsidRPr="00871E60" w:rsidRDefault="00F865E3" w:rsidP="0037658A">
            <w:pPr>
              <w:rPr>
                <w:rFonts w:ascii="Arial" w:eastAsia="SimSun" w:hAnsi="Arial" w:cs="Arial"/>
              </w:rPr>
            </w:pPr>
            <w:ins w:id="59" w:author="Auth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4B7233E" w14:textId="77777777" w:rsidR="00F865E3" w:rsidRDefault="00F865E3" w:rsidP="00F865E3">
            <w:pPr>
              <w:keepNext/>
              <w:keepLines/>
              <w:rPr>
                <w:ins w:id="60" w:author="Author"/>
                <w:rFonts w:ascii="Arial" w:eastAsia="SimSun" w:hAnsi="Arial" w:cs="Arial"/>
              </w:rPr>
            </w:pPr>
            <w:ins w:id="61" w:author="Author">
              <w:r w:rsidRPr="00D85FAC">
                <w:rPr>
                  <w:rFonts w:ascii="Arial" w:eastAsia="SimSun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SimSun" w:hAnsi="Arial" w:cs="Arial"/>
                </w:rPr>
                <w:t>Tx</w:t>
              </w:r>
              <w:r w:rsidRPr="00D85FAC">
                <w:rPr>
                  <w:rFonts w:ascii="Arial" w:eastAsia="SimSun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SimSun" w:hAnsi="Arial" w:cs="Arial"/>
                </w:rPr>
                <w:t xml:space="preserve">from Rel-16 </w:t>
              </w:r>
              <w:r w:rsidRPr="00D85FAC">
                <w:rPr>
                  <w:rFonts w:ascii="Arial" w:eastAsia="SimSun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SimSun" w:hAnsi="Arial" w:cs="Arial"/>
                </w:rPr>
                <w:t>. We guess this is the main aspect for the discussion. We have a proposal to capture this which would still be aligned with Rel-15 but allows a UE to match the sub-band to the wide-band reporting:</w:t>
              </w:r>
            </w:ins>
          </w:p>
          <w:p w14:paraId="0054AB99" w14:textId="00CFC5CA" w:rsidR="002F788A" w:rsidRPr="00871E60" w:rsidRDefault="00F865E3" w:rsidP="00F865E3">
            <w:pPr>
              <w:keepNext/>
              <w:keepLines/>
              <w:rPr>
                <w:rFonts w:ascii="Arial" w:eastAsia="SimSun" w:hAnsi="Arial" w:cs="Arial"/>
              </w:rPr>
            </w:pPr>
            <w:ins w:id="62" w:author="Author">
              <w:r>
                <w:rPr>
                  <w:rFonts w:ascii="Arial" w:eastAsia="SimSun" w:hAnsi="Arial" w:cs="Arial"/>
                </w:rPr>
                <w:t xml:space="preserve">- </w:t>
              </w:r>
              <w:r w:rsidRPr="00D85FAC">
                <w:rPr>
                  <w:rFonts w:ascii="Arial" w:eastAsia="SimSun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>
                <w:rPr>
                  <w:rFonts w:ascii="Arial" w:eastAsia="SimSun" w:hAnsi="Arial" w:cs="Arial"/>
                </w:rPr>
                <w:t>.</w:t>
              </w:r>
            </w:ins>
          </w:p>
        </w:tc>
      </w:tr>
      <w:tr w:rsidR="002F788A" w:rsidRPr="00871E60" w14:paraId="19ECC38D" w14:textId="77777777" w:rsidTr="0037658A">
        <w:tc>
          <w:tcPr>
            <w:tcW w:w="1510" w:type="dxa"/>
            <w:shd w:val="clear" w:color="auto" w:fill="auto"/>
          </w:tcPr>
          <w:p w14:paraId="19F918A0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2399F79A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590A61A9" w14:textId="77777777" w:rsidR="002F788A" w:rsidRPr="002F788A" w:rsidRDefault="002F788A" w:rsidP="002F788A">
      <w:pPr>
        <w:pStyle w:val="BodyText"/>
        <w:rPr>
          <w:rFonts w:ascii="Arial" w:hAnsi="Arial" w:cs="Arial"/>
          <w:noProof/>
        </w:rPr>
      </w:pPr>
    </w:p>
    <w:p w14:paraId="7E517CD0" w14:textId="77777777" w:rsidR="002F788A" w:rsidRDefault="002F788A" w:rsidP="001D329D">
      <w:pPr>
        <w:rPr>
          <w:rFonts w:ascii="Arial" w:eastAsia="SimSun" w:hAnsi="Arial" w:cs="Arial"/>
        </w:rPr>
      </w:pPr>
    </w:p>
    <w:p w14:paraId="172E3166" w14:textId="77777777" w:rsidR="00B43CEA" w:rsidRDefault="00B43CEA" w:rsidP="00B43CEA">
      <w:pPr>
        <w:pStyle w:val="BodyText"/>
        <w:rPr>
          <w:rFonts w:ascii="Arial" w:hAnsi="Arial" w:cs="Arial"/>
          <w:noProof/>
        </w:rPr>
      </w:pPr>
      <w:r w:rsidRPr="00B43CEA">
        <w:rPr>
          <w:rFonts w:ascii="Arial" w:hAnsi="Arial" w:cs="Arial"/>
          <w:noProof/>
        </w:rPr>
        <w:t xml:space="preserve">Irrespective </w:t>
      </w:r>
      <w:r>
        <w:rPr>
          <w:rFonts w:ascii="Arial" w:hAnsi="Arial" w:cs="Arial"/>
          <w:noProof/>
        </w:rPr>
        <w:t>which alternative to go, as Qualcomm commented below where to add this clarification is also related to the under reporting email discussion #962.</w:t>
      </w:r>
    </w:p>
    <w:p w14:paraId="6229D704" w14:textId="77777777" w:rsidR="00B43CEA" w:rsidRPr="00B43CEA" w:rsidRDefault="00B43CEA" w:rsidP="00B43CEA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The moderator suggests we take #962 progress into account, and currently to introduce </w:t>
      </w:r>
      <w:r>
        <w:rPr>
          <w:rFonts w:ascii="Yu Gothic" w:eastAsia="Yu Gothic" w:hAnsi="Yu Gothic" w:hint="eastAsia"/>
          <w:i/>
          <w:iCs/>
        </w:rPr>
        <w:t>supportedCSI-RS-ResourceListAlt</w:t>
      </w:r>
      <w:r>
        <w:rPr>
          <w:rFonts w:ascii="Yu Gothic" w:eastAsia="Yu Gothic" w:hAnsi="Yu Gothic"/>
          <w:i/>
          <w:iCs/>
        </w:rPr>
        <w:t xml:space="preserve"> </w:t>
      </w:r>
      <w:r w:rsidRPr="00B43CEA">
        <w:rPr>
          <w:rFonts w:ascii="Arial" w:hAnsi="Arial" w:cs="Arial"/>
          <w:noProof/>
        </w:rPr>
        <w:t>seems a common understanding.</w:t>
      </w:r>
      <w:r w:rsidR="002F788A">
        <w:rPr>
          <w:rFonts w:ascii="Arial" w:hAnsi="Arial" w:cs="Arial"/>
          <w:noProof/>
        </w:rPr>
        <w:t xml:space="preserve"> So the moderator suggests to move the clarification under </w:t>
      </w:r>
      <w:r w:rsidR="002F788A">
        <w:rPr>
          <w:rFonts w:ascii="Yu Gothic" w:eastAsia="Yu Gothic" w:hAnsi="Yu Gothic" w:hint="eastAsia"/>
          <w:i/>
          <w:iCs/>
        </w:rPr>
        <w:t>supportedCSI-RS-ResourceListAlt</w:t>
      </w:r>
      <w:r w:rsidR="002F788A">
        <w:rPr>
          <w:rFonts w:ascii="Yu Gothic" w:eastAsia="Yu Gothic" w:hAnsi="Yu Gothic"/>
          <w:i/>
          <w:iCs/>
        </w:rPr>
        <w:t xml:space="preserve"> </w:t>
      </w:r>
      <w:r w:rsidR="002F788A" w:rsidRPr="002F788A">
        <w:rPr>
          <w:rFonts w:ascii="Arial" w:hAnsi="Arial" w:cs="Arial"/>
          <w:noProof/>
        </w:rPr>
        <w:t>Unless #962 offline discussion</w:t>
      </w:r>
      <w:r w:rsidR="002F788A">
        <w:rPr>
          <w:rFonts w:ascii="Arial" w:hAnsi="Arial" w:cs="Arial"/>
          <w:noProof/>
        </w:rPr>
        <w:t xml:space="preserve"> changes this part.</w:t>
      </w:r>
    </w:p>
    <w:p w14:paraId="7A2AA0CC" w14:textId="77777777" w:rsidR="00871E60" w:rsidRPr="00871E60" w:rsidRDefault="002F788A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Q5</w:t>
      </w:r>
      <w:r w:rsidR="00871E60" w:rsidRPr="00871E60">
        <w:rPr>
          <w:rFonts w:ascii="Arial" w:hAnsi="Arial" w:cs="Arial"/>
          <w:noProof/>
        </w:rPr>
        <w:t xml:space="preserve">: Do companies </w:t>
      </w:r>
      <w:r>
        <w:rPr>
          <w:rFonts w:ascii="Arial" w:hAnsi="Arial" w:cs="Arial"/>
          <w:noProof/>
        </w:rPr>
        <w:t>agree the proposal from the moderator</w:t>
      </w:r>
      <w:r w:rsidR="00871E60" w:rsidRPr="00871E60">
        <w:rPr>
          <w:rFonts w:ascii="Arial" w:hAnsi="Arial" w:cs="Arial"/>
          <w:noProof/>
        </w:rPr>
        <w:t xml:space="preserve">? </w:t>
      </w:r>
      <w:r>
        <w:rPr>
          <w:rFonts w:ascii="Arial" w:hAnsi="Arial" w:cs="Arial"/>
          <w:noProof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63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64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65" w:author="Author">
              <w:r>
                <w:rPr>
                  <w:rFonts w:ascii="Arial" w:hAnsi="Arial" w:cs="Arial" w:hint="eastAsia"/>
                </w:rPr>
                <w:t>Any clarification</w:t>
              </w:r>
              <w:r>
                <w:rPr>
                  <w:rFonts w:ascii="Arial" w:hAnsi="Arial" w:cs="Arial"/>
                </w:rPr>
                <w:t xml:space="preserve"> patched by this CR is supposed to be applied for the legacy list and alternative list. As long as it is clear from the spec, it doesn’t matter where </w:t>
              </w:r>
              <w:r w:rsidR="008E5098">
                <w:rPr>
                  <w:rFonts w:ascii="Arial" w:hAnsi="Arial" w:cs="Arial"/>
                </w:rPr>
                <w:t>the new clarification is placed.</w:t>
              </w:r>
            </w:ins>
          </w:p>
        </w:tc>
      </w:tr>
      <w:tr w:rsidR="00871E60" w:rsidRPr="00871E60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66" w:author="Author">
              <w:r>
                <w:rPr>
                  <w:rFonts w:ascii="Arial" w:hAnsi="Arial" w:cs="Arial" w:hint="eastAsia"/>
                </w:rPr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67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68" w:author="Author">
              <w:r w:rsidRPr="009A42C6">
                <w:rPr>
                  <w:rFonts w:ascii="Arial" w:eastAsia="SimSun" w:hAnsi="Arial" w:cs="Arial"/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ins w:id="69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ins w:id="70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A1740B9" w14:textId="77777777" w:rsidTr="000B07E0">
        <w:tc>
          <w:tcPr>
            <w:tcW w:w="1510" w:type="dxa"/>
            <w:shd w:val="clear" w:color="auto" w:fill="auto"/>
          </w:tcPr>
          <w:p w14:paraId="1021CB81" w14:textId="028862DB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ins w:id="71" w:author="Auth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7B88DAE4" w14:textId="2B22E813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ins w:id="72" w:author="Author">
              <w:r>
                <w:rPr>
                  <w:rFonts w:ascii="Arial" w:eastAsia="SimSun" w:hAnsi="Arial" w:cs="Arial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4C426486" w14:textId="075CBE7D" w:rsidR="00871E60" w:rsidRPr="00871E60" w:rsidRDefault="00F865E3" w:rsidP="000B07E0">
            <w:pPr>
              <w:keepNext/>
              <w:keepLines/>
              <w:rPr>
                <w:rFonts w:ascii="Arial" w:eastAsia="SimSun" w:hAnsi="Arial" w:cs="Arial"/>
              </w:rPr>
            </w:pPr>
            <w:ins w:id="73" w:author="Author">
              <w:r>
                <w:rPr>
                  <w:rFonts w:ascii="Arial" w:eastAsia="SimSun" w:hAnsi="Arial" w:cs="Arial"/>
                </w:rPr>
                <w:t>We think it is fair to capture the understanding properly so that we have reduced chances of revisiting</w:t>
              </w:r>
              <w:bookmarkStart w:id="74" w:name="_GoBack"/>
              <w:bookmarkEnd w:id="74"/>
              <w:r>
                <w:rPr>
                  <w:rFonts w:ascii="Arial" w:eastAsia="SimSun" w:hAnsi="Arial" w:cs="Arial"/>
                </w:rPr>
                <w:t xml:space="preserve"> the discussion in the future.</w:t>
              </w:r>
            </w:ins>
          </w:p>
        </w:tc>
      </w:tr>
      <w:tr w:rsidR="00871E60" w:rsidRPr="00871E60" w14:paraId="4520EF6D" w14:textId="77777777" w:rsidTr="000B07E0">
        <w:tc>
          <w:tcPr>
            <w:tcW w:w="1510" w:type="dxa"/>
            <w:shd w:val="clear" w:color="auto" w:fill="auto"/>
          </w:tcPr>
          <w:p w14:paraId="591ABD17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71D50AEC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510EB56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2F4B9387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0AD49C36" w14:textId="77777777" w:rsidR="00871E60" w:rsidRPr="00871E60" w:rsidRDefault="00871E60" w:rsidP="001D329D">
      <w:pPr>
        <w:rPr>
          <w:rFonts w:ascii="Arial" w:eastAsia="SimSun" w:hAnsi="Arial" w:cs="Arial"/>
        </w:rPr>
      </w:pPr>
    </w:p>
    <w:p w14:paraId="197985C8" w14:textId="77777777" w:rsidR="00916091" w:rsidRPr="00871E60" w:rsidRDefault="007C2FB1" w:rsidP="00012015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14:paraId="660E0C0A" w14:textId="77777777" w:rsidR="007673E0" w:rsidRPr="00871E60" w:rsidRDefault="00462FE2" w:rsidP="00A65273">
      <w:pPr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  <w:highlight w:val="yellow"/>
        </w:rPr>
        <w:t>[To be updated]</w:t>
      </w:r>
    </w:p>
    <w:p w14:paraId="43F0D94A" w14:textId="77777777" w:rsidR="003017D8" w:rsidRPr="00871E60" w:rsidRDefault="003017D8" w:rsidP="002F788A">
      <w:pPr>
        <w:pStyle w:val="Heading2"/>
        <w:spacing w:before="60" w:after="120"/>
        <w:ind w:left="0"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C71C5" w14:textId="77777777" w:rsidR="00B011A6" w:rsidRDefault="00B011A6">
      <w:r>
        <w:separator/>
      </w:r>
    </w:p>
  </w:endnote>
  <w:endnote w:type="continuationSeparator" w:id="0">
    <w:p w14:paraId="6665D626" w14:textId="77777777" w:rsidR="00B011A6" w:rsidRDefault="00B0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A559" w14:textId="77777777" w:rsidR="00B43CEA" w:rsidRDefault="00B43CE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73CB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73CB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911E" w14:textId="77777777" w:rsidR="00B011A6" w:rsidRDefault="00B011A6">
      <w:r>
        <w:separator/>
      </w:r>
    </w:p>
  </w:footnote>
  <w:footnote w:type="continuationSeparator" w:id="0">
    <w:p w14:paraId="188655C7" w14:textId="77777777" w:rsidR="00B011A6" w:rsidRDefault="00B0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8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40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3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1"/>
  </w:num>
  <w:num w:numId="41">
    <w:abstractNumId w:val="39"/>
  </w:num>
  <w:num w:numId="42">
    <w:abstractNumId w:val="10"/>
  </w:num>
  <w:num w:numId="43">
    <w:abstractNumId w:val="42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679"/>
    <w:rsid w:val="005C3978"/>
    <w:rsid w:val="005C3A39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1A6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5FAC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5E3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880F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85FA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5FAC"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Heading4Char">
    <w:name w:val="Heading 4 Char"/>
    <w:link w:val="Heading4"/>
    <w:locked/>
    <w:rsid w:val="001D6D2E"/>
    <w:rPr>
      <w:rFonts w:ascii="Arial" w:eastAsia="Times New Roman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TableGrid">
    <w:name w:val="Table Grid"/>
    <w:basedOn w:val="TableNormal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PlainText">
    <w:name w:val="Plain Text"/>
    <w:basedOn w:val="Normal"/>
    <w:link w:val="PlainTextChar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PlainTextChar">
    <w:name w:val="Plain Text Char"/>
    <w:link w:val="PlainText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Normal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49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2020-05-18T11:03:00Z</dcterms:created>
  <dcterms:modified xsi:type="dcterms:W3CDTF">2020-05-18T20:37:00Z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