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5A4D7DC5"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sidR="004A698E">
        <w:rPr>
          <w:rFonts w:ascii="Arial" w:eastAsia="Times New Roman" w:hAnsi="Arial" w:cs="Times New Roman"/>
          <w:b/>
          <w:szCs w:val="20"/>
          <w:lang w:val="en-US" w:eastAsia="zh-CN"/>
        </w:rPr>
        <w:t>bis</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9EBE227" w:rsidR="00035AC7" w:rsidRDefault="004A698E">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Changsha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China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15</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19</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April</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w:t>
      </w:r>
      <w:proofErr w:type="spellEnd"/>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658CF4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 xml:space="preserve">Discussion on RILs conclusion </w:t>
      </w:r>
      <w:r w:rsidR="00B81D94">
        <w:rPr>
          <w:rFonts w:ascii="Arial" w:eastAsia="Times New Roman" w:hAnsi="Arial" w:cs="Times New Roman"/>
          <w:b/>
          <w:sz w:val="22"/>
          <w:szCs w:val="22"/>
          <w:lang w:val="en-GB" w:eastAsia="zh-CN"/>
        </w:rPr>
        <w:t>mobile IAB</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159E51D4"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 xml:space="preserve">In this contribution, a list of RILs for the </w:t>
      </w:r>
      <w:r w:rsidR="00B81D94">
        <w:rPr>
          <w:rFonts w:ascii="Arial" w:eastAsia="Times New Roman" w:hAnsi="Arial" w:cs="Times New Roman"/>
          <w:sz w:val="20"/>
          <w:szCs w:val="20"/>
          <w:lang w:val="en-GB" w:eastAsia="zh-CN"/>
        </w:rPr>
        <w:t>mobile IAB</w:t>
      </w:r>
      <w:r>
        <w:rPr>
          <w:rFonts w:ascii="Arial" w:eastAsia="Times New Roman" w:hAnsi="Arial" w:cs="Times New Roman"/>
          <w:sz w:val="20"/>
          <w:szCs w:val="20"/>
          <w:lang w:val="en-GB" w:eastAsia="zh-CN"/>
        </w:rPr>
        <w:t xml:space="preserve"> work item with relating conclusion and comment is provided.</w:t>
      </w:r>
    </w:p>
    <w:p w14:paraId="56ABA6FE" w14:textId="77777777" w:rsidR="00035AC7" w:rsidRDefault="00EA1768">
      <w:pPr>
        <w:pStyle w:val="Heading1"/>
      </w:pPr>
      <w:bookmarkStart w:id="0" w:name="_Ref178064866"/>
      <w:r>
        <w:t>2</w:t>
      </w:r>
      <w:r>
        <w:tab/>
        <w:t>Discussion</w:t>
      </w:r>
      <w:bookmarkEnd w:id="0"/>
    </w:p>
    <w:tbl>
      <w:tblPr>
        <w:tblStyle w:val="TableGrid"/>
        <w:tblW w:w="15877" w:type="dxa"/>
        <w:tblInd w:w="-998" w:type="dxa"/>
        <w:tblLayout w:type="fixed"/>
        <w:tblLook w:val="04A0" w:firstRow="1" w:lastRow="0" w:firstColumn="1" w:lastColumn="0" w:noHBand="0" w:noVBand="1"/>
      </w:tblPr>
      <w:tblGrid>
        <w:gridCol w:w="762"/>
        <w:gridCol w:w="1365"/>
        <w:gridCol w:w="851"/>
        <w:gridCol w:w="992"/>
        <w:gridCol w:w="1134"/>
        <w:gridCol w:w="1843"/>
        <w:gridCol w:w="1701"/>
        <w:gridCol w:w="1417"/>
        <w:gridCol w:w="2268"/>
        <w:gridCol w:w="3544"/>
      </w:tblGrid>
      <w:tr w:rsidR="00B81D94" w:rsidRPr="00B81D94" w14:paraId="3495D05F" w14:textId="77777777" w:rsidTr="00B81D94">
        <w:trPr>
          <w:trHeight w:val="340"/>
        </w:trPr>
        <w:tc>
          <w:tcPr>
            <w:tcW w:w="762" w:type="dxa"/>
            <w:hideMark/>
          </w:tcPr>
          <w:p w14:paraId="19543D25" w14:textId="77777777" w:rsidR="00B81D94" w:rsidRPr="00B81D94" w:rsidRDefault="00B81D94" w:rsidP="00B81D94">
            <w:pPr>
              <w:jc w:val="center"/>
              <w:rPr>
                <w:rFonts w:ascii="Calibri" w:hAnsi="Calibri" w:cs="Calibri"/>
                <w:b/>
                <w:bCs/>
                <w:sz w:val="18"/>
                <w:szCs w:val="18"/>
                <w:lang w:val="en-FI" w:eastAsia="ja-JP"/>
              </w:rPr>
            </w:pPr>
            <w:r w:rsidRPr="00B81D94">
              <w:rPr>
                <w:rFonts w:ascii="Calibri" w:hAnsi="Calibri" w:cs="Calibri"/>
                <w:b/>
                <w:bCs/>
                <w:sz w:val="18"/>
                <w:szCs w:val="18"/>
                <w:lang w:eastAsia="ja-JP"/>
              </w:rPr>
              <w:t>ID</w:t>
            </w:r>
          </w:p>
        </w:tc>
        <w:tc>
          <w:tcPr>
            <w:tcW w:w="1365" w:type="dxa"/>
            <w:hideMark/>
          </w:tcPr>
          <w:p w14:paraId="4FBA782D"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Delegate</w:t>
            </w:r>
          </w:p>
        </w:tc>
        <w:tc>
          <w:tcPr>
            <w:tcW w:w="851" w:type="dxa"/>
            <w:hideMark/>
          </w:tcPr>
          <w:p w14:paraId="3FA14659"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Work Item</w:t>
            </w:r>
          </w:p>
        </w:tc>
        <w:tc>
          <w:tcPr>
            <w:tcW w:w="992" w:type="dxa"/>
            <w:hideMark/>
          </w:tcPr>
          <w:p w14:paraId="291494E2"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Class</w:t>
            </w:r>
          </w:p>
        </w:tc>
        <w:tc>
          <w:tcPr>
            <w:tcW w:w="1134" w:type="dxa"/>
            <w:shd w:val="clear" w:color="auto" w:fill="E2EFD9" w:themeFill="accent6" w:themeFillTint="33"/>
            <w:hideMark/>
          </w:tcPr>
          <w:p w14:paraId="1473D952"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Propose Conclusion</w:t>
            </w:r>
          </w:p>
        </w:tc>
        <w:tc>
          <w:tcPr>
            <w:tcW w:w="1843" w:type="dxa"/>
            <w:hideMark/>
          </w:tcPr>
          <w:p w14:paraId="3B64D2DD"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Comment to Proposed Conclusion</w:t>
            </w:r>
          </w:p>
        </w:tc>
        <w:tc>
          <w:tcPr>
            <w:tcW w:w="1701" w:type="dxa"/>
            <w:hideMark/>
          </w:tcPr>
          <w:p w14:paraId="25FA4B58"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RIL source leader (who should provide the tdoc)</w:t>
            </w:r>
          </w:p>
        </w:tc>
        <w:tc>
          <w:tcPr>
            <w:tcW w:w="1417" w:type="dxa"/>
            <w:hideMark/>
          </w:tcPr>
          <w:p w14:paraId="5BD8F88D"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Description</w:t>
            </w:r>
          </w:p>
        </w:tc>
        <w:tc>
          <w:tcPr>
            <w:tcW w:w="2268" w:type="dxa"/>
            <w:hideMark/>
          </w:tcPr>
          <w:p w14:paraId="2DC40F2B" w14:textId="77777777" w:rsidR="00B81D94" w:rsidRPr="00B81D94" w:rsidRDefault="00B81D94" w:rsidP="00B81D94">
            <w:pPr>
              <w:jc w:val="center"/>
              <w:rPr>
                <w:rFonts w:ascii="Calibri" w:hAnsi="Calibri" w:cs="Calibri"/>
                <w:b/>
                <w:bCs/>
                <w:sz w:val="18"/>
                <w:szCs w:val="18"/>
                <w:lang w:eastAsia="ja-JP"/>
              </w:rPr>
            </w:pPr>
            <w:r w:rsidRPr="00B81D94">
              <w:rPr>
                <w:rFonts w:ascii="Calibri" w:hAnsi="Calibri" w:cs="Calibri"/>
                <w:b/>
                <w:bCs/>
                <w:sz w:val="18"/>
                <w:szCs w:val="18"/>
                <w:lang w:eastAsia="ja-JP"/>
              </w:rPr>
              <w:t>Proposed Change</w:t>
            </w:r>
          </w:p>
        </w:tc>
        <w:tc>
          <w:tcPr>
            <w:tcW w:w="3544" w:type="dxa"/>
            <w:hideMark/>
          </w:tcPr>
          <w:p w14:paraId="0D25A620" w14:textId="77777777" w:rsidR="00B81D94" w:rsidRPr="001D15F2" w:rsidRDefault="00B81D94" w:rsidP="00B81D94">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Comments</w:t>
            </w:r>
          </w:p>
          <w:p w14:paraId="5586A535" w14:textId="7862C54E" w:rsidR="00B81D94" w:rsidRPr="00B81D94" w:rsidRDefault="00B81D94" w:rsidP="00B81D94">
            <w:pPr>
              <w:jc w:val="center"/>
              <w:rPr>
                <w:rFonts w:ascii="Calibri" w:hAnsi="Calibri" w:cs="Calibri"/>
                <w:b/>
                <w:bCs/>
                <w:sz w:val="18"/>
                <w:szCs w:val="18"/>
                <w:lang w:eastAsia="ja-JP"/>
              </w:rPr>
            </w:pPr>
            <w:r w:rsidRPr="001D15F2">
              <w:rPr>
                <w:rFonts w:ascii="Arial" w:eastAsia="Times New Roman" w:hAnsi="Arial" w:cs="Times New Roman"/>
                <w:b/>
                <w:bCs/>
                <w:sz w:val="18"/>
                <w:szCs w:val="18"/>
                <w:lang w:val="fi-FI" w:eastAsia="zh-CN"/>
              </w:rPr>
              <w:t>(</w:t>
            </w:r>
            <w:proofErr w:type="spellStart"/>
            <w:r w:rsidRPr="001D15F2">
              <w:rPr>
                <w:rFonts w:ascii="Arial" w:eastAsia="Times New Roman" w:hAnsi="Arial" w:cs="Times New Roman"/>
                <w:b/>
                <w:bCs/>
                <w:sz w:val="18"/>
                <w:szCs w:val="18"/>
                <w:lang w:val="fi-FI" w:eastAsia="zh-CN"/>
              </w:rPr>
              <w:t>Example</w:t>
            </w:r>
            <w:proofErr w:type="spellEnd"/>
            <w:r w:rsidRPr="001D15F2">
              <w:rPr>
                <w:rFonts w:ascii="Arial" w:eastAsia="Times New Roman" w:hAnsi="Arial" w:cs="Times New Roman"/>
                <w:b/>
                <w:bCs/>
                <w:sz w:val="18"/>
                <w:szCs w:val="18"/>
                <w:lang w:val="fi-FI" w:eastAsia="zh-CN"/>
              </w:rPr>
              <w:t xml:space="preserve"> </w:t>
            </w:r>
            <w:r w:rsidRPr="001D15F2">
              <w:rPr>
                <w:rFonts w:ascii="Arial" w:eastAsia="Times New Roman" w:hAnsi="Arial" w:cs="Times New Roman"/>
                <w:b/>
                <w:bCs/>
                <w:sz w:val="18"/>
                <w:szCs w:val="18"/>
                <w:lang w:val="fi-FI" w:eastAsia="zh-CN"/>
              </w:rPr>
              <w:sym w:font="Wingdings" w:char="F0E0"/>
            </w:r>
            <w:r w:rsidRPr="001D15F2">
              <w:rPr>
                <w:rFonts w:ascii="Arial" w:eastAsia="Times New Roman" w:hAnsi="Arial" w:cs="Times New Roman"/>
                <w:b/>
                <w:bCs/>
                <w:sz w:val="18"/>
                <w:szCs w:val="18"/>
                <w:lang w:val="fi-FI" w:eastAsia="zh-CN"/>
              </w:rPr>
              <w:t xml:space="preserve"> [Ericsson-Tony] </w:t>
            </w:r>
            <w:proofErr w:type="spellStart"/>
            <w:r w:rsidRPr="001D15F2">
              <w:rPr>
                <w:rFonts w:ascii="Arial" w:eastAsia="Times New Roman" w:hAnsi="Arial" w:cs="Times New Roman"/>
                <w:b/>
                <w:bCs/>
                <w:sz w:val="18"/>
                <w:szCs w:val="18"/>
                <w:lang w:val="fi-FI" w:eastAsia="zh-CN"/>
              </w:rPr>
              <w:t>bla</w:t>
            </w:r>
            <w:proofErr w:type="spellEnd"/>
            <w:r w:rsidRPr="001D15F2">
              <w:rPr>
                <w:rFonts w:ascii="Arial" w:eastAsia="Times New Roman" w:hAnsi="Arial" w:cs="Times New Roman"/>
                <w:b/>
                <w:bCs/>
                <w:sz w:val="18"/>
                <w:szCs w:val="18"/>
                <w:lang w:val="fi-FI" w:eastAsia="zh-CN"/>
              </w:rPr>
              <w:t xml:space="preserve"> </w:t>
            </w:r>
            <w:proofErr w:type="spellStart"/>
            <w:r w:rsidRPr="001D15F2">
              <w:rPr>
                <w:rFonts w:ascii="Arial" w:eastAsia="Times New Roman" w:hAnsi="Arial" w:cs="Times New Roman"/>
                <w:b/>
                <w:bCs/>
                <w:sz w:val="18"/>
                <w:szCs w:val="18"/>
                <w:lang w:val="fi-FI" w:eastAsia="zh-CN"/>
              </w:rPr>
              <w:t>bla</w:t>
            </w:r>
            <w:proofErr w:type="spellEnd"/>
            <w:r w:rsidRPr="001D15F2">
              <w:rPr>
                <w:rFonts w:ascii="Arial" w:eastAsia="Times New Roman" w:hAnsi="Arial" w:cs="Times New Roman"/>
                <w:b/>
                <w:bCs/>
                <w:sz w:val="18"/>
                <w:szCs w:val="18"/>
                <w:lang w:val="fi-FI" w:eastAsia="zh-CN"/>
              </w:rPr>
              <w:t>)</w:t>
            </w:r>
          </w:p>
        </w:tc>
      </w:tr>
      <w:tr w:rsidR="00B81D94" w:rsidRPr="00B81D94" w14:paraId="7842CD6C" w14:textId="77777777" w:rsidTr="00B81D94">
        <w:trPr>
          <w:trHeight w:val="3400"/>
        </w:trPr>
        <w:tc>
          <w:tcPr>
            <w:tcW w:w="762" w:type="dxa"/>
            <w:hideMark/>
          </w:tcPr>
          <w:p w14:paraId="72678F92"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lastRenderedPageBreak/>
              <w:t>H112</w:t>
            </w:r>
          </w:p>
        </w:tc>
        <w:tc>
          <w:tcPr>
            <w:tcW w:w="1365" w:type="dxa"/>
            <w:hideMark/>
          </w:tcPr>
          <w:p w14:paraId="09FBC3B0"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Huawei (Yulong)</w:t>
            </w:r>
          </w:p>
        </w:tc>
        <w:tc>
          <w:tcPr>
            <w:tcW w:w="851" w:type="dxa"/>
            <w:hideMark/>
          </w:tcPr>
          <w:p w14:paraId="1A8EDCEE"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IAB</w:t>
            </w:r>
          </w:p>
        </w:tc>
        <w:tc>
          <w:tcPr>
            <w:tcW w:w="992" w:type="dxa"/>
            <w:hideMark/>
          </w:tcPr>
          <w:p w14:paraId="75BE4D75"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1</w:t>
            </w:r>
          </w:p>
        </w:tc>
        <w:tc>
          <w:tcPr>
            <w:tcW w:w="1134" w:type="dxa"/>
            <w:shd w:val="clear" w:color="auto" w:fill="E2EFD9" w:themeFill="accent6" w:themeFillTint="33"/>
            <w:hideMark/>
          </w:tcPr>
          <w:p w14:paraId="187DC6B1"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PropReject</w:t>
            </w:r>
          </w:p>
        </w:tc>
        <w:tc>
          <w:tcPr>
            <w:tcW w:w="1843" w:type="dxa"/>
            <w:hideMark/>
          </w:tcPr>
          <w:p w14:paraId="2C3C2FDF"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[Ericsson-Tony] I am a bit skeptical to provide this field as mandatory. This is because in case new N_TA values are introduce then we have an issue with this field as mandatory. I prefer to keep this optional and network anyway would need to include this because otherwise the whole RACH-less IE would be useless. However, this is something that need to be discussed within AI 7.0.3 for the generalization of RACH-less.</w:t>
            </w:r>
          </w:p>
        </w:tc>
        <w:tc>
          <w:tcPr>
            <w:tcW w:w="1701" w:type="dxa"/>
            <w:hideMark/>
          </w:tcPr>
          <w:p w14:paraId="1C054100"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 </w:t>
            </w:r>
          </w:p>
        </w:tc>
        <w:tc>
          <w:tcPr>
            <w:tcW w:w="1417" w:type="dxa"/>
            <w:hideMark/>
          </w:tcPr>
          <w:p w14:paraId="33A45063"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The RACH-lessHO IE is need N. Then, there is no point to not provide the targetNTA-r18 if RACH-lessHO is configured.</w:t>
            </w:r>
          </w:p>
        </w:tc>
        <w:tc>
          <w:tcPr>
            <w:tcW w:w="2268" w:type="dxa"/>
            <w:hideMark/>
          </w:tcPr>
          <w:p w14:paraId="41ACB504"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Change targetNTA-r18 as mandatory field</w:t>
            </w:r>
          </w:p>
        </w:tc>
        <w:tc>
          <w:tcPr>
            <w:tcW w:w="3544" w:type="dxa"/>
            <w:hideMark/>
          </w:tcPr>
          <w:p w14:paraId="19A92622" w14:textId="77777777" w:rsidR="00B81D94" w:rsidRPr="00B81D94" w:rsidRDefault="00B81D94">
            <w:pPr>
              <w:rPr>
                <w:rFonts w:ascii="Calibri" w:hAnsi="Calibri" w:cs="Calibri"/>
                <w:sz w:val="18"/>
                <w:szCs w:val="18"/>
                <w:lang w:eastAsia="ja-JP"/>
              </w:rPr>
            </w:pPr>
          </w:p>
        </w:tc>
      </w:tr>
      <w:tr w:rsidR="00B81D94" w:rsidRPr="00B81D94" w14:paraId="3E399B27" w14:textId="77777777" w:rsidTr="00B81D94">
        <w:trPr>
          <w:trHeight w:val="2380"/>
        </w:trPr>
        <w:tc>
          <w:tcPr>
            <w:tcW w:w="762" w:type="dxa"/>
            <w:hideMark/>
          </w:tcPr>
          <w:p w14:paraId="35CFA2BE"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H113</w:t>
            </w:r>
          </w:p>
        </w:tc>
        <w:tc>
          <w:tcPr>
            <w:tcW w:w="1365" w:type="dxa"/>
            <w:hideMark/>
          </w:tcPr>
          <w:p w14:paraId="79A32C43"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Huawei (Yulong)</w:t>
            </w:r>
          </w:p>
        </w:tc>
        <w:tc>
          <w:tcPr>
            <w:tcW w:w="851" w:type="dxa"/>
            <w:hideMark/>
          </w:tcPr>
          <w:p w14:paraId="03E5ECFF"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IAB</w:t>
            </w:r>
          </w:p>
        </w:tc>
        <w:tc>
          <w:tcPr>
            <w:tcW w:w="992" w:type="dxa"/>
            <w:hideMark/>
          </w:tcPr>
          <w:p w14:paraId="26C1A06B"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1</w:t>
            </w:r>
          </w:p>
        </w:tc>
        <w:tc>
          <w:tcPr>
            <w:tcW w:w="1134" w:type="dxa"/>
            <w:shd w:val="clear" w:color="auto" w:fill="E2EFD9" w:themeFill="accent6" w:themeFillTint="33"/>
            <w:hideMark/>
          </w:tcPr>
          <w:p w14:paraId="2CFB52D5"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PropAgree</w:t>
            </w:r>
          </w:p>
        </w:tc>
        <w:tc>
          <w:tcPr>
            <w:tcW w:w="1843" w:type="dxa"/>
            <w:hideMark/>
          </w:tcPr>
          <w:p w14:paraId="40A58747"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 </w:t>
            </w:r>
          </w:p>
        </w:tc>
        <w:tc>
          <w:tcPr>
            <w:tcW w:w="1701" w:type="dxa"/>
            <w:hideMark/>
          </w:tcPr>
          <w:p w14:paraId="294376BA"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 </w:t>
            </w:r>
          </w:p>
        </w:tc>
        <w:tc>
          <w:tcPr>
            <w:tcW w:w="1417" w:type="dxa"/>
            <w:hideMark/>
          </w:tcPr>
          <w:p w14:paraId="3EDB9233"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The tci-StateID field in RACH-LessHO IE is not only for the beam indication, but also indicating the TCI state.</w:t>
            </w:r>
          </w:p>
        </w:tc>
        <w:tc>
          <w:tcPr>
            <w:tcW w:w="2268" w:type="dxa"/>
            <w:hideMark/>
          </w:tcPr>
          <w:p w14:paraId="0884964F"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This field indicates a beam that the UE should use in the target cell to monitor PDCCH for initial uplink transmission, and indicates the TCI state information to be used in the target cell. This field is present in case this cell is a mobile IAB cell.</w:t>
            </w:r>
          </w:p>
        </w:tc>
        <w:tc>
          <w:tcPr>
            <w:tcW w:w="3544" w:type="dxa"/>
            <w:hideMark/>
          </w:tcPr>
          <w:p w14:paraId="6186F7C4" w14:textId="77777777" w:rsidR="00B81D94" w:rsidRPr="00B81D94" w:rsidRDefault="00B81D94">
            <w:pPr>
              <w:rPr>
                <w:rFonts w:ascii="Calibri" w:hAnsi="Calibri" w:cs="Calibri"/>
                <w:sz w:val="18"/>
                <w:szCs w:val="18"/>
                <w:lang w:eastAsia="ja-JP"/>
              </w:rPr>
            </w:pPr>
          </w:p>
        </w:tc>
      </w:tr>
      <w:tr w:rsidR="00B81D94" w:rsidRPr="00B81D94" w14:paraId="59520446" w14:textId="77777777" w:rsidTr="00B81D94">
        <w:trPr>
          <w:trHeight w:val="2380"/>
        </w:trPr>
        <w:tc>
          <w:tcPr>
            <w:tcW w:w="762" w:type="dxa"/>
            <w:hideMark/>
          </w:tcPr>
          <w:p w14:paraId="4301F013"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lastRenderedPageBreak/>
              <w:t>S265</w:t>
            </w:r>
          </w:p>
        </w:tc>
        <w:tc>
          <w:tcPr>
            <w:tcW w:w="1365" w:type="dxa"/>
            <w:hideMark/>
          </w:tcPr>
          <w:p w14:paraId="3C63D8A0"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Samsung (Jonas)</w:t>
            </w:r>
          </w:p>
        </w:tc>
        <w:tc>
          <w:tcPr>
            <w:tcW w:w="851" w:type="dxa"/>
            <w:hideMark/>
          </w:tcPr>
          <w:p w14:paraId="5D7A5627"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IAB</w:t>
            </w:r>
          </w:p>
        </w:tc>
        <w:tc>
          <w:tcPr>
            <w:tcW w:w="992" w:type="dxa"/>
            <w:hideMark/>
          </w:tcPr>
          <w:p w14:paraId="394802D1"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1</w:t>
            </w:r>
          </w:p>
        </w:tc>
        <w:tc>
          <w:tcPr>
            <w:tcW w:w="1134" w:type="dxa"/>
            <w:shd w:val="clear" w:color="auto" w:fill="E2EFD9" w:themeFill="accent6" w:themeFillTint="33"/>
            <w:hideMark/>
          </w:tcPr>
          <w:p w14:paraId="4D8F1E88"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PropReject</w:t>
            </w:r>
          </w:p>
        </w:tc>
        <w:tc>
          <w:tcPr>
            <w:tcW w:w="1843" w:type="dxa"/>
            <w:hideMark/>
          </w:tcPr>
          <w:p w14:paraId="069337F4"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[Ericsson-Tony] Since this field is within NPN-IdentityInfoList, it looks straighforward that the condition applies only to NPN. This is similar terminology we have for other fields in the same IE. Neverthless, I am okay to further clarify if also other companies believe that is useful.</w:t>
            </w:r>
          </w:p>
        </w:tc>
        <w:tc>
          <w:tcPr>
            <w:tcW w:w="1701" w:type="dxa"/>
            <w:hideMark/>
          </w:tcPr>
          <w:p w14:paraId="58D6385F"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 </w:t>
            </w:r>
          </w:p>
        </w:tc>
        <w:tc>
          <w:tcPr>
            <w:tcW w:w="1417" w:type="dxa"/>
            <w:hideMark/>
          </w:tcPr>
          <w:p w14:paraId="2B460745"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A specific NPN may support mobile IAB in a cell, so with the following description it may need to be present for any NPN in the cell that does not support mobile IAB.</w:t>
            </w:r>
          </w:p>
        </w:tc>
        <w:tc>
          <w:tcPr>
            <w:tcW w:w="2268" w:type="dxa"/>
            <w:hideMark/>
          </w:tcPr>
          <w:p w14:paraId="3891B4F0"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The suggested change is to state that this field is always present if mobileIAB-Support is indicated for the NPN.</w:t>
            </w:r>
          </w:p>
        </w:tc>
        <w:tc>
          <w:tcPr>
            <w:tcW w:w="3544" w:type="dxa"/>
            <w:hideMark/>
          </w:tcPr>
          <w:p w14:paraId="48D730FB" w14:textId="77777777" w:rsidR="00B81D94" w:rsidRPr="00B81D94" w:rsidRDefault="00B81D94">
            <w:pPr>
              <w:rPr>
                <w:rFonts w:ascii="Calibri" w:hAnsi="Calibri" w:cs="Calibri"/>
                <w:sz w:val="18"/>
                <w:szCs w:val="18"/>
                <w:lang w:eastAsia="ja-JP"/>
              </w:rPr>
            </w:pPr>
          </w:p>
        </w:tc>
      </w:tr>
      <w:tr w:rsidR="00B81D94" w:rsidRPr="00B81D94" w14:paraId="023D86C6" w14:textId="77777777" w:rsidTr="00B81D94">
        <w:trPr>
          <w:trHeight w:val="1360"/>
        </w:trPr>
        <w:tc>
          <w:tcPr>
            <w:tcW w:w="762" w:type="dxa"/>
            <w:hideMark/>
          </w:tcPr>
          <w:p w14:paraId="3A7AD1CA"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S486</w:t>
            </w:r>
          </w:p>
        </w:tc>
        <w:tc>
          <w:tcPr>
            <w:tcW w:w="1365" w:type="dxa"/>
            <w:hideMark/>
          </w:tcPr>
          <w:p w14:paraId="14CF137E"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Samsung (Jonas)</w:t>
            </w:r>
          </w:p>
        </w:tc>
        <w:tc>
          <w:tcPr>
            <w:tcW w:w="851" w:type="dxa"/>
            <w:hideMark/>
          </w:tcPr>
          <w:p w14:paraId="672B8BD5"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IAB</w:t>
            </w:r>
          </w:p>
        </w:tc>
        <w:tc>
          <w:tcPr>
            <w:tcW w:w="992" w:type="dxa"/>
            <w:hideMark/>
          </w:tcPr>
          <w:p w14:paraId="0CA05A07"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1</w:t>
            </w:r>
          </w:p>
        </w:tc>
        <w:tc>
          <w:tcPr>
            <w:tcW w:w="1134" w:type="dxa"/>
            <w:shd w:val="clear" w:color="auto" w:fill="E2EFD9" w:themeFill="accent6" w:themeFillTint="33"/>
            <w:hideMark/>
          </w:tcPr>
          <w:p w14:paraId="64817BB2"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Wrong WI</w:t>
            </w:r>
          </w:p>
        </w:tc>
        <w:tc>
          <w:tcPr>
            <w:tcW w:w="1843" w:type="dxa"/>
            <w:hideMark/>
          </w:tcPr>
          <w:p w14:paraId="567358CB"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[Ericsson-Tony] It seems that this change should be discussed either in NTN or in the RACH-less section in 7.0.4. This is not related to mobile IAB.</w:t>
            </w:r>
          </w:p>
        </w:tc>
        <w:tc>
          <w:tcPr>
            <w:tcW w:w="1701" w:type="dxa"/>
            <w:hideMark/>
          </w:tcPr>
          <w:p w14:paraId="22224AA0"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 </w:t>
            </w:r>
          </w:p>
        </w:tc>
        <w:tc>
          <w:tcPr>
            <w:tcW w:w="1417" w:type="dxa"/>
            <w:hideMark/>
          </w:tcPr>
          <w:p w14:paraId="3EF49E9F"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It was agreed that TAR MAC CE may be sent during RACH-less HO and the current procedures allow for it.</w:t>
            </w:r>
          </w:p>
        </w:tc>
        <w:tc>
          <w:tcPr>
            <w:tcW w:w="2268" w:type="dxa"/>
            <w:hideMark/>
          </w:tcPr>
          <w:p w14:paraId="497622D0"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Either remove “Random access due to” or add “during Random access and RACH-less  due to reconfiguration with sync”</w:t>
            </w:r>
          </w:p>
        </w:tc>
        <w:tc>
          <w:tcPr>
            <w:tcW w:w="3544" w:type="dxa"/>
            <w:hideMark/>
          </w:tcPr>
          <w:p w14:paraId="5422525D" w14:textId="77777777" w:rsidR="00B81D94" w:rsidRPr="00B81D94" w:rsidRDefault="00B81D94">
            <w:pPr>
              <w:rPr>
                <w:rFonts w:ascii="Calibri" w:hAnsi="Calibri" w:cs="Calibri"/>
                <w:sz w:val="18"/>
                <w:szCs w:val="18"/>
                <w:lang w:eastAsia="ja-JP"/>
              </w:rPr>
            </w:pPr>
          </w:p>
        </w:tc>
      </w:tr>
      <w:tr w:rsidR="00B81D94" w:rsidRPr="00B81D94" w14:paraId="0A543B3E" w14:textId="77777777" w:rsidTr="00B81D94">
        <w:trPr>
          <w:trHeight w:val="1700"/>
        </w:trPr>
        <w:tc>
          <w:tcPr>
            <w:tcW w:w="762" w:type="dxa"/>
            <w:hideMark/>
          </w:tcPr>
          <w:p w14:paraId="0D680D55"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S266</w:t>
            </w:r>
          </w:p>
        </w:tc>
        <w:tc>
          <w:tcPr>
            <w:tcW w:w="1365" w:type="dxa"/>
            <w:hideMark/>
          </w:tcPr>
          <w:p w14:paraId="6BD44095"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Samsung (Jonas)</w:t>
            </w:r>
          </w:p>
        </w:tc>
        <w:tc>
          <w:tcPr>
            <w:tcW w:w="851" w:type="dxa"/>
            <w:hideMark/>
          </w:tcPr>
          <w:p w14:paraId="48BE88A4"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IAB</w:t>
            </w:r>
          </w:p>
        </w:tc>
        <w:tc>
          <w:tcPr>
            <w:tcW w:w="992" w:type="dxa"/>
            <w:hideMark/>
          </w:tcPr>
          <w:p w14:paraId="508CE6CD"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1</w:t>
            </w:r>
          </w:p>
        </w:tc>
        <w:tc>
          <w:tcPr>
            <w:tcW w:w="1134" w:type="dxa"/>
            <w:shd w:val="clear" w:color="auto" w:fill="E2EFD9" w:themeFill="accent6" w:themeFillTint="33"/>
            <w:hideMark/>
          </w:tcPr>
          <w:p w14:paraId="5802ADBB"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PropReject</w:t>
            </w:r>
          </w:p>
        </w:tc>
        <w:tc>
          <w:tcPr>
            <w:tcW w:w="1843" w:type="dxa"/>
            <w:hideMark/>
          </w:tcPr>
          <w:p w14:paraId="79CFC5A8"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[Ericsson-Tony] Same as S265</w:t>
            </w:r>
          </w:p>
        </w:tc>
        <w:tc>
          <w:tcPr>
            <w:tcW w:w="1701" w:type="dxa"/>
            <w:hideMark/>
          </w:tcPr>
          <w:p w14:paraId="32DEBF5C" w14:textId="77777777" w:rsidR="00B81D94" w:rsidRPr="00B81D94" w:rsidRDefault="00B81D94" w:rsidP="00B81D94">
            <w:pPr>
              <w:rPr>
                <w:rFonts w:ascii="Calibri" w:hAnsi="Calibri" w:cs="Calibri"/>
                <w:sz w:val="18"/>
                <w:szCs w:val="18"/>
                <w:lang w:eastAsia="ja-JP"/>
              </w:rPr>
            </w:pPr>
            <w:r w:rsidRPr="00B81D94">
              <w:rPr>
                <w:rFonts w:ascii="Calibri" w:hAnsi="Calibri" w:cs="Calibri"/>
                <w:sz w:val="18"/>
                <w:szCs w:val="18"/>
                <w:lang w:eastAsia="ja-JP"/>
              </w:rPr>
              <w:t> </w:t>
            </w:r>
          </w:p>
        </w:tc>
        <w:tc>
          <w:tcPr>
            <w:tcW w:w="1417" w:type="dxa"/>
            <w:hideMark/>
          </w:tcPr>
          <w:p w14:paraId="4A142A16"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A specific PLMN may support mobile IAB in a cell, so with the following description it may need to be present for any PLMN in the cell that does not support mobile IAB.</w:t>
            </w:r>
          </w:p>
        </w:tc>
        <w:tc>
          <w:tcPr>
            <w:tcW w:w="2268" w:type="dxa"/>
            <w:hideMark/>
          </w:tcPr>
          <w:p w14:paraId="029F5999" w14:textId="77777777" w:rsidR="00B81D94" w:rsidRPr="00B81D94" w:rsidRDefault="00B81D94">
            <w:pPr>
              <w:rPr>
                <w:rFonts w:ascii="Calibri" w:hAnsi="Calibri" w:cs="Calibri"/>
                <w:sz w:val="18"/>
                <w:szCs w:val="18"/>
                <w:lang w:eastAsia="ja-JP"/>
              </w:rPr>
            </w:pPr>
            <w:r w:rsidRPr="00B81D94">
              <w:rPr>
                <w:rFonts w:ascii="Calibri" w:hAnsi="Calibri" w:cs="Calibri"/>
                <w:sz w:val="18"/>
                <w:szCs w:val="18"/>
                <w:lang w:eastAsia="ja-JP"/>
              </w:rPr>
              <w:t>The suggested change is to state that this field is always present if mobileIAB-Support is indicated for the PLMN.</w:t>
            </w:r>
          </w:p>
        </w:tc>
        <w:tc>
          <w:tcPr>
            <w:tcW w:w="3544" w:type="dxa"/>
            <w:hideMark/>
          </w:tcPr>
          <w:p w14:paraId="363D00A0" w14:textId="77777777" w:rsidR="00B81D94" w:rsidRPr="00B81D94" w:rsidRDefault="00B81D94">
            <w:pPr>
              <w:rPr>
                <w:rFonts w:ascii="Calibri" w:hAnsi="Calibri" w:cs="Calibri"/>
                <w:sz w:val="18"/>
                <w:szCs w:val="18"/>
                <w:lang w:eastAsia="ja-JP"/>
              </w:rPr>
            </w:pPr>
          </w:p>
        </w:tc>
      </w:tr>
    </w:tbl>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4C4F27"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8B5E926"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4006" w14:textId="77777777" w:rsidR="001F51CA" w:rsidRDefault="001F51CA" w:rsidP="00F8540B">
      <w:pPr>
        <w:spacing w:after="0" w:line="240" w:lineRule="auto"/>
      </w:pPr>
      <w:r>
        <w:separator/>
      </w:r>
    </w:p>
  </w:endnote>
  <w:endnote w:type="continuationSeparator" w:id="0">
    <w:p w14:paraId="05E0FA28" w14:textId="77777777" w:rsidR="001F51CA" w:rsidRDefault="001F51CA"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51D" w14:textId="77777777" w:rsidR="00F8540B" w:rsidRDefault="00F8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768" w14:textId="77777777" w:rsidR="00F8540B" w:rsidRDefault="00F8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8C0D" w14:textId="77777777" w:rsidR="00F8540B" w:rsidRDefault="00F8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55BA" w14:textId="77777777" w:rsidR="001F51CA" w:rsidRDefault="001F51CA" w:rsidP="00F8540B">
      <w:pPr>
        <w:spacing w:after="0" w:line="240" w:lineRule="auto"/>
      </w:pPr>
      <w:r>
        <w:separator/>
      </w:r>
    </w:p>
  </w:footnote>
  <w:footnote w:type="continuationSeparator" w:id="0">
    <w:p w14:paraId="1516559B" w14:textId="77777777" w:rsidR="001F51CA" w:rsidRDefault="001F51CA"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C34" w14:textId="77777777" w:rsidR="00F8540B" w:rsidRDefault="00F8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633" w14:textId="77777777" w:rsidR="00F8540B" w:rsidRDefault="00F85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2C7" w14:textId="77777777" w:rsidR="00F8540B" w:rsidRDefault="00F85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1170CA"/>
    <w:rsid w:val="0013413D"/>
    <w:rsid w:val="001D15F2"/>
    <w:rsid w:val="001F51CA"/>
    <w:rsid w:val="00220528"/>
    <w:rsid w:val="00282441"/>
    <w:rsid w:val="002B586A"/>
    <w:rsid w:val="00351F43"/>
    <w:rsid w:val="003B08E2"/>
    <w:rsid w:val="003D3C64"/>
    <w:rsid w:val="004037E9"/>
    <w:rsid w:val="00436306"/>
    <w:rsid w:val="004643D3"/>
    <w:rsid w:val="004A698E"/>
    <w:rsid w:val="004F1ACC"/>
    <w:rsid w:val="005133B3"/>
    <w:rsid w:val="005553B0"/>
    <w:rsid w:val="005758D1"/>
    <w:rsid w:val="005D5748"/>
    <w:rsid w:val="00685092"/>
    <w:rsid w:val="00705E81"/>
    <w:rsid w:val="007B72AB"/>
    <w:rsid w:val="00800787"/>
    <w:rsid w:val="00802BDC"/>
    <w:rsid w:val="00834306"/>
    <w:rsid w:val="0086414E"/>
    <w:rsid w:val="00920A90"/>
    <w:rsid w:val="00930915"/>
    <w:rsid w:val="0095701A"/>
    <w:rsid w:val="00964137"/>
    <w:rsid w:val="00975A28"/>
    <w:rsid w:val="00980F0A"/>
    <w:rsid w:val="00A00A72"/>
    <w:rsid w:val="00A75F33"/>
    <w:rsid w:val="00B110EC"/>
    <w:rsid w:val="00B81D94"/>
    <w:rsid w:val="00BC5377"/>
    <w:rsid w:val="00C24A65"/>
    <w:rsid w:val="00C3346D"/>
    <w:rsid w:val="00C8297A"/>
    <w:rsid w:val="00C9605A"/>
    <w:rsid w:val="00E8403A"/>
    <w:rsid w:val="00EA1768"/>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243685378">
      <w:bodyDiv w:val="1"/>
      <w:marLeft w:val="0"/>
      <w:marRight w:val="0"/>
      <w:marTop w:val="0"/>
      <w:marBottom w:val="0"/>
      <w:divBdr>
        <w:top w:val="none" w:sz="0" w:space="0" w:color="auto"/>
        <w:left w:val="none" w:sz="0" w:space="0" w:color="auto"/>
        <w:bottom w:val="none" w:sz="0" w:space="0" w:color="auto"/>
        <w:right w:val="none" w:sz="0" w:space="0" w:color="auto"/>
      </w:divBdr>
    </w:div>
    <w:div w:id="1281032413">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50</cp:revision>
  <dcterms:created xsi:type="dcterms:W3CDTF">2024-02-06T12:35:00Z</dcterms:created>
  <dcterms:modified xsi:type="dcterms:W3CDTF">2024-04-08T15:29:00Z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